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808" w:rsidRDefault="00A35C3B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Ambient </w:t>
      </w:r>
      <w:r w:rsidRPr="00F92719">
        <w:rPr>
          <w:rFonts w:ascii="Rockwell" w:hAnsi="Rockwell"/>
          <w:b/>
          <w:sz w:val="28"/>
          <w:szCs w:val="28"/>
        </w:rPr>
        <w:t>Air Quality Monitoring</w:t>
      </w:r>
      <w:r>
        <w:rPr>
          <w:rFonts w:ascii="Rockwell" w:hAnsi="Rockwell"/>
          <w:b/>
          <w:sz w:val="28"/>
          <w:szCs w:val="28"/>
        </w:rPr>
        <w:t xml:space="preserve"> For 2023/2024 </w:t>
      </w:r>
      <w:r w:rsidR="00A05808">
        <w:rPr>
          <w:rFonts w:ascii="Rockwell" w:hAnsi="Rockwell"/>
          <w:b/>
          <w:sz w:val="28"/>
          <w:szCs w:val="28"/>
        </w:rPr>
        <w:t>by Laboratory Division</w:t>
      </w:r>
    </w:p>
    <w:p w:rsidR="00F84F9D" w:rsidRDefault="00F84F9D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By </w:t>
      </w:r>
      <w:proofErr w:type="spellStart"/>
      <w:r>
        <w:rPr>
          <w:rFonts w:ascii="Rockwell" w:hAnsi="Rockwell"/>
          <w:b/>
          <w:sz w:val="28"/>
          <w:szCs w:val="28"/>
        </w:rPr>
        <w:t>Marcellah</w:t>
      </w:r>
      <w:proofErr w:type="spellEnd"/>
      <w:r>
        <w:rPr>
          <w:rFonts w:ascii="Rockwell" w:hAnsi="Rockwell"/>
          <w:b/>
          <w:sz w:val="28"/>
          <w:szCs w:val="28"/>
        </w:rPr>
        <w:t xml:space="preserve"> </w:t>
      </w:r>
      <w:proofErr w:type="spellStart"/>
      <w:r>
        <w:rPr>
          <w:rFonts w:ascii="Rockwell" w:hAnsi="Rockwell"/>
          <w:b/>
          <w:sz w:val="28"/>
          <w:szCs w:val="28"/>
        </w:rPr>
        <w:t>Ojiambo</w:t>
      </w:r>
      <w:proofErr w:type="spellEnd"/>
    </w:p>
    <w:p w:rsidR="00F92719" w:rsidRPr="00A05808" w:rsidRDefault="00F92719">
      <w:pPr>
        <w:rPr>
          <w:rFonts w:ascii="Rockwell" w:hAnsi="Rockwell"/>
          <w:b/>
          <w:sz w:val="28"/>
          <w:szCs w:val="28"/>
        </w:rPr>
      </w:pPr>
      <w:r w:rsidRPr="004F0A5E">
        <w:rPr>
          <w:rFonts w:ascii="Rockwell" w:hAnsi="Rockwell"/>
        </w:rPr>
        <w:t>NEMA on acquisition of the Air Quality monitoring mobile laboratory started monitoring the ambient air in the country.</w:t>
      </w:r>
    </w:p>
    <w:p w:rsidR="00F92719" w:rsidRPr="004F0A5E" w:rsidRDefault="00F92719">
      <w:pPr>
        <w:rPr>
          <w:rFonts w:ascii="Rockwell" w:hAnsi="Rockwell"/>
        </w:rPr>
      </w:pPr>
      <w:r w:rsidRPr="004F0A5E">
        <w:rPr>
          <w:rFonts w:ascii="Rockwell" w:hAnsi="Rockwell"/>
        </w:rPr>
        <w:t xml:space="preserve">Recently </w:t>
      </w:r>
      <w:r w:rsidR="00A05808">
        <w:rPr>
          <w:rFonts w:ascii="Rockwell" w:hAnsi="Rockwell"/>
        </w:rPr>
        <w:t>in the 2023/2024 financial year, Air</w:t>
      </w:r>
      <w:r w:rsidRPr="004F0A5E">
        <w:rPr>
          <w:rFonts w:ascii="Rockwell" w:hAnsi="Rockwell"/>
        </w:rPr>
        <w:t xml:space="preserve"> quality monitoring was done in Nairobi during the 2023 Standard Charted Nairobi Marathon</w:t>
      </w:r>
      <w:r w:rsidR="00A05808">
        <w:rPr>
          <w:rFonts w:ascii="Rockwell" w:hAnsi="Rockwell"/>
        </w:rPr>
        <w:t>, world environment Day</w:t>
      </w:r>
      <w:r w:rsidRPr="004F0A5E">
        <w:rPr>
          <w:rFonts w:ascii="Rockwell" w:hAnsi="Rockwell"/>
        </w:rPr>
        <w:t xml:space="preserve"> and in Mombasa. The data that was recorded is as follows</w:t>
      </w:r>
    </w:p>
    <w:p w:rsidR="00281F8A" w:rsidRPr="00F92719" w:rsidRDefault="0043708C" w:rsidP="00281F8A">
      <w:pPr>
        <w:rPr>
          <w:rFonts w:ascii="Rockwell" w:hAnsi="Rockwell"/>
          <w:b/>
          <w:sz w:val="24"/>
          <w:szCs w:val="24"/>
        </w:rPr>
      </w:pPr>
      <w:r w:rsidRPr="00F92719">
        <w:rPr>
          <w:rFonts w:ascii="Rockwell" w:hAnsi="Rockwell"/>
          <w:b/>
          <w:sz w:val="24"/>
          <w:szCs w:val="24"/>
        </w:rPr>
        <w:t xml:space="preserve">Air quality monitoring </w:t>
      </w:r>
      <w:r>
        <w:rPr>
          <w:rFonts w:ascii="Rockwell" w:hAnsi="Rockwell"/>
          <w:b/>
          <w:sz w:val="24"/>
          <w:szCs w:val="24"/>
        </w:rPr>
        <w:t>data</w:t>
      </w:r>
      <w:r w:rsidRPr="00F92719">
        <w:rPr>
          <w:rFonts w:ascii="Rockwell" w:hAnsi="Rockwell"/>
          <w:b/>
          <w:sz w:val="24"/>
          <w:szCs w:val="24"/>
        </w:rPr>
        <w:t xml:space="preserve"> for the standard chartered Nairobi marathon 2023</w:t>
      </w:r>
    </w:p>
    <w:tbl>
      <w:tblPr>
        <w:tblStyle w:val="TableGrid"/>
        <w:tblW w:w="108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530"/>
        <w:gridCol w:w="990"/>
        <w:gridCol w:w="990"/>
        <w:gridCol w:w="990"/>
        <w:gridCol w:w="990"/>
        <w:gridCol w:w="990"/>
        <w:gridCol w:w="990"/>
        <w:gridCol w:w="990"/>
        <w:gridCol w:w="1170"/>
        <w:gridCol w:w="1170"/>
      </w:tblGrid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Parameter/</w:t>
            </w:r>
          </w:p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Date &amp; Time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28/10/23 12:00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28/10/23 18:00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29/10/23 0:00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29/10/23 6:00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29/10/23 12:00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29/10/23 18:00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30/10/23 0:00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30/10/23 6:00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24 hours Average</w:t>
            </w:r>
          </w:p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STD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H</w:t>
            </w:r>
            <w:r w:rsidRPr="00F92719">
              <w:rPr>
                <w:rFonts w:ascii="Rockwell" w:eastAsia="Calibri" w:hAnsi="Rockwell" w:cs="Times New Roman"/>
                <w:b/>
                <w:vertAlign w:val="subscript"/>
              </w:rPr>
              <w:t>2</w:t>
            </w:r>
            <w:r w:rsidRPr="00F92719">
              <w:rPr>
                <w:rFonts w:ascii="Rockwell" w:eastAsia="Calibri" w:hAnsi="Rockwell" w:cs="Times New Roman"/>
                <w:b/>
              </w:rPr>
              <w:t>S-ug/m3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1.029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2.874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2.309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2.849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1.667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2.333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2.901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3.693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50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HUM-%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44.456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65.943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80.17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73.398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46.442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54.696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79.923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85.881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VOCs ppb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49.809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106.041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22.545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34.468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25.505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29.609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19.856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151.51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600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CH4-ppm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8.58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0.474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0.475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0.478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0.478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0.482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0.482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0.461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2.4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NMHC-ppm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-0.006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0.359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0.364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0.367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0.371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0.372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0.373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0.349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700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NO-ug/m3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28.979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9.692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2.764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3.814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7.214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3.731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4.06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0.346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80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PM10-ug/m3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20.635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2.826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0.94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3.403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2.198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1.023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1.329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2.331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50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PM2.5-ug/m3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7.582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2.728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0.92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2.483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1.438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0.987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1.319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2.31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50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WD-Deg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115.821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94.894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164.49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144.427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151.434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154.289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141.152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124.182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TEMP-</w:t>
            </w:r>
            <w:r w:rsidRPr="00F92719">
              <w:rPr>
                <w:rFonts w:ascii="Rockwell" w:eastAsia="Calibri" w:hAnsi="Rockwell" w:cs="Times New Roman"/>
                <w:b/>
                <w:vertAlign w:val="subscript"/>
              </w:rPr>
              <w:t>0</w:t>
            </w:r>
            <w:r w:rsidRPr="00F92719">
              <w:rPr>
                <w:rFonts w:ascii="Rockwell" w:eastAsia="Calibri" w:hAnsi="Rockwell" w:cs="Times New Roman"/>
                <w:b/>
              </w:rPr>
              <w:t>C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24.777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21.001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18.254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19.678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24.531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21.498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17.8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17.551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25</w:t>
            </w: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WS-m/s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2.839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1.803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1.718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1.703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2.645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2.202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1.579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1.783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</w:p>
        </w:tc>
      </w:tr>
      <w:tr w:rsidR="00F92719" w:rsidRPr="00F92719" w:rsidTr="00A05808">
        <w:tc>
          <w:tcPr>
            <w:tcW w:w="153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>THC ppm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8.532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0.555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0.557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0.564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0.563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0.565</w:t>
            </w:r>
          </w:p>
        </w:tc>
        <w:tc>
          <w:tcPr>
            <w:tcW w:w="99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0.564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</w:rPr>
            </w:pPr>
            <w:r w:rsidRPr="00F92719">
              <w:rPr>
                <w:rFonts w:ascii="Rockwell" w:eastAsia="Calibri" w:hAnsi="Rockwell" w:cs="Times New Roman"/>
              </w:rPr>
              <w:t>0.545</w:t>
            </w:r>
          </w:p>
        </w:tc>
        <w:tc>
          <w:tcPr>
            <w:tcW w:w="1170" w:type="dxa"/>
          </w:tcPr>
          <w:p w:rsidR="00F92719" w:rsidRPr="00F92719" w:rsidRDefault="00F92719" w:rsidP="00F92719">
            <w:pPr>
              <w:rPr>
                <w:rFonts w:ascii="Rockwell" w:eastAsia="Calibri" w:hAnsi="Rockwell" w:cs="Times New Roman"/>
                <w:b/>
              </w:rPr>
            </w:pPr>
            <w:r w:rsidRPr="00F92719">
              <w:rPr>
                <w:rFonts w:ascii="Rockwell" w:eastAsia="Calibri" w:hAnsi="Rockwell" w:cs="Times New Roman"/>
                <w:b/>
              </w:rPr>
              <w:t xml:space="preserve">600 </w:t>
            </w:r>
          </w:p>
        </w:tc>
      </w:tr>
    </w:tbl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b/>
          <w:sz w:val="24"/>
          <w:szCs w:val="24"/>
        </w:rPr>
        <w:t>KEYWORDS</w:t>
      </w:r>
      <w:r>
        <w:rPr>
          <w:rFonts w:ascii="Rockwell" w:hAnsi="Rockwell"/>
          <w:b/>
          <w:sz w:val="24"/>
          <w:szCs w:val="24"/>
        </w:rPr>
        <w:t>:</w:t>
      </w:r>
      <w:r w:rsidRPr="00F92719">
        <w:rPr>
          <w:rFonts w:ascii="Rockwell" w:hAnsi="Rockwell"/>
          <w:sz w:val="20"/>
          <w:szCs w:val="20"/>
        </w:rPr>
        <w:t xml:space="preserve">  </w:t>
      </w:r>
      <w:r w:rsidRPr="00F92719">
        <w:rPr>
          <w:rFonts w:ascii="Rockwell" w:hAnsi="Rockwell"/>
          <w:b/>
          <w:sz w:val="20"/>
          <w:szCs w:val="20"/>
        </w:rPr>
        <w:t>THC</w:t>
      </w:r>
      <w:r w:rsidRPr="00F92719">
        <w:rPr>
          <w:rFonts w:ascii="Rockwell" w:hAnsi="Rockwell"/>
          <w:sz w:val="20"/>
          <w:szCs w:val="20"/>
        </w:rPr>
        <w:t xml:space="preserve">- Total </w:t>
      </w:r>
      <w:r w:rsidR="000B3794" w:rsidRPr="00F92719">
        <w:rPr>
          <w:rFonts w:ascii="Rockwell" w:hAnsi="Rockwell"/>
          <w:sz w:val="20"/>
          <w:szCs w:val="20"/>
        </w:rPr>
        <w:t>Hydrocarbons</w:t>
      </w:r>
    </w:p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b/>
          <w:sz w:val="20"/>
          <w:szCs w:val="20"/>
        </w:rPr>
        <w:t xml:space="preserve">            PM</w:t>
      </w:r>
      <w:r w:rsidRPr="00F92719">
        <w:rPr>
          <w:rFonts w:ascii="Rockwell" w:hAnsi="Rockwell"/>
          <w:sz w:val="20"/>
          <w:szCs w:val="20"/>
        </w:rPr>
        <w:t xml:space="preserve"> -Particulate Matter </w:t>
      </w:r>
      <w:r w:rsidRPr="00F92719">
        <w:rPr>
          <w:rFonts w:ascii="Rockwell" w:hAnsi="Rockwell"/>
          <w:sz w:val="20"/>
          <w:szCs w:val="20"/>
        </w:rPr>
        <w:tab/>
        <w:t xml:space="preserve">                                                                             </w:t>
      </w:r>
      <w:r w:rsidRPr="00F92719">
        <w:rPr>
          <w:rFonts w:ascii="Rockwell" w:hAnsi="Rockwell"/>
          <w:b/>
          <w:sz w:val="20"/>
          <w:szCs w:val="20"/>
        </w:rPr>
        <w:t>WS</w:t>
      </w:r>
      <w:r w:rsidRPr="00F92719">
        <w:rPr>
          <w:rFonts w:ascii="Rockwell" w:hAnsi="Rockwell"/>
          <w:sz w:val="20"/>
          <w:szCs w:val="20"/>
        </w:rPr>
        <w:t>- Wind Speed</w:t>
      </w:r>
    </w:p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b/>
          <w:sz w:val="20"/>
          <w:szCs w:val="20"/>
        </w:rPr>
        <w:t xml:space="preserve">            NO</w:t>
      </w:r>
      <w:r w:rsidRPr="00F92719">
        <w:rPr>
          <w:rFonts w:ascii="Rockwell" w:hAnsi="Rockwell"/>
          <w:sz w:val="20"/>
          <w:szCs w:val="20"/>
        </w:rPr>
        <w:t>-Nitric Oxide</w:t>
      </w:r>
      <w:r w:rsidRPr="00F92719">
        <w:rPr>
          <w:rFonts w:ascii="Rockwell" w:hAnsi="Rockwell"/>
          <w:sz w:val="20"/>
          <w:szCs w:val="20"/>
        </w:rPr>
        <w:tab/>
        <w:t xml:space="preserve">                                                                                           </w:t>
      </w:r>
      <w:r w:rsidRPr="00F92719">
        <w:rPr>
          <w:rFonts w:ascii="Rockwell" w:hAnsi="Rockwell"/>
          <w:b/>
          <w:sz w:val="20"/>
          <w:szCs w:val="20"/>
        </w:rPr>
        <w:t>WD</w:t>
      </w:r>
      <w:r w:rsidRPr="00F92719">
        <w:rPr>
          <w:rFonts w:ascii="Rockwell" w:hAnsi="Rockwell"/>
          <w:sz w:val="20"/>
          <w:szCs w:val="20"/>
        </w:rPr>
        <w:t>-Wind Direction</w:t>
      </w:r>
    </w:p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sz w:val="20"/>
          <w:szCs w:val="20"/>
        </w:rPr>
        <w:t xml:space="preserve">            </w:t>
      </w:r>
      <w:r w:rsidRPr="00F92719">
        <w:rPr>
          <w:rFonts w:ascii="Rockwell" w:hAnsi="Rockwell"/>
          <w:b/>
          <w:sz w:val="20"/>
          <w:szCs w:val="20"/>
        </w:rPr>
        <w:t>H</w:t>
      </w:r>
      <w:r w:rsidRPr="00F92719">
        <w:rPr>
          <w:rFonts w:ascii="Rockwell" w:hAnsi="Rockwell"/>
          <w:b/>
          <w:sz w:val="20"/>
          <w:szCs w:val="20"/>
          <w:vertAlign w:val="subscript"/>
        </w:rPr>
        <w:t>2</w:t>
      </w:r>
      <w:r w:rsidRPr="00F92719">
        <w:rPr>
          <w:rFonts w:ascii="Rockwell" w:hAnsi="Rockwell"/>
          <w:b/>
          <w:sz w:val="20"/>
          <w:szCs w:val="20"/>
        </w:rPr>
        <w:t>S</w:t>
      </w:r>
      <w:r w:rsidRPr="00F92719">
        <w:rPr>
          <w:rFonts w:ascii="Rockwell" w:hAnsi="Rockwell"/>
          <w:sz w:val="20"/>
          <w:szCs w:val="20"/>
        </w:rPr>
        <w:t xml:space="preserve"> –Hydrogen </w:t>
      </w:r>
      <w:proofErr w:type="spellStart"/>
      <w:r w:rsidRPr="00F92719">
        <w:rPr>
          <w:rFonts w:ascii="Rockwell" w:hAnsi="Rockwell"/>
          <w:sz w:val="20"/>
          <w:szCs w:val="20"/>
        </w:rPr>
        <w:t>Sulphide</w:t>
      </w:r>
      <w:proofErr w:type="spellEnd"/>
      <w:r w:rsidRPr="00F92719">
        <w:rPr>
          <w:rFonts w:ascii="Rockwell" w:hAnsi="Rockwell"/>
          <w:sz w:val="20"/>
          <w:szCs w:val="20"/>
        </w:rPr>
        <w:tab/>
        <w:t xml:space="preserve">                                       </w:t>
      </w:r>
      <w:r>
        <w:rPr>
          <w:rFonts w:ascii="Rockwell" w:hAnsi="Rockwell"/>
          <w:sz w:val="20"/>
          <w:szCs w:val="20"/>
        </w:rPr>
        <w:t xml:space="preserve">                         </w:t>
      </w:r>
      <w:r w:rsidRPr="00F92719">
        <w:rPr>
          <w:rFonts w:ascii="Rockwell" w:hAnsi="Rockwell"/>
          <w:sz w:val="20"/>
          <w:szCs w:val="20"/>
        </w:rPr>
        <w:t xml:space="preserve"> </w:t>
      </w:r>
      <w:r w:rsidRPr="00F92719">
        <w:rPr>
          <w:rFonts w:ascii="Rockwell" w:hAnsi="Rockwell"/>
          <w:b/>
          <w:sz w:val="20"/>
          <w:szCs w:val="20"/>
        </w:rPr>
        <w:t>TEMP</w:t>
      </w:r>
      <w:r w:rsidRPr="00F92719">
        <w:rPr>
          <w:rFonts w:ascii="Rockwell" w:hAnsi="Rockwell"/>
          <w:sz w:val="20"/>
          <w:szCs w:val="20"/>
        </w:rPr>
        <w:t xml:space="preserve">- Temperature </w:t>
      </w:r>
    </w:p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sz w:val="20"/>
          <w:szCs w:val="20"/>
        </w:rPr>
        <w:t xml:space="preserve">            </w:t>
      </w:r>
      <w:r w:rsidRPr="00F92719">
        <w:rPr>
          <w:rFonts w:ascii="Rockwell" w:hAnsi="Rockwell"/>
          <w:b/>
          <w:sz w:val="20"/>
          <w:szCs w:val="20"/>
        </w:rPr>
        <w:t>HUM</w:t>
      </w:r>
      <w:r w:rsidRPr="00F92719">
        <w:rPr>
          <w:rFonts w:ascii="Rockwell" w:hAnsi="Rockwell"/>
          <w:sz w:val="20"/>
          <w:szCs w:val="20"/>
        </w:rPr>
        <w:t xml:space="preserve"> – Humidity</w:t>
      </w:r>
      <w:r w:rsidRPr="00F92719">
        <w:rPr>
          <w:rFonts w:ascii="Rockwell" w:hAnsi="Rockwell"/>
          <w:sz w:val="20"/>
          <w:szCs w:val="20"/>
        </w:rPr>
        <w:tab/>
        <w:t xml:space="preserve">                                                 </w:t>
      </w:r>
      <w:r>
        <w:rPr>
          <w:rFonts w:ascii="Rockwell" w:hAnsi="Rockwell"/>
          <w:sz w:val="20"/>
          <w:szCs w:val="20"/>
        </w:rPr>
        <w:t xml:space="preserve">                           </w:t>
      </w:r>
      <w:r w:rsidRPr="00F92719">
        <w:rPr>
          <w:rFonts w:ascii="Rockwell" w:hAnsi="Rockwell"/>
          <w:sz w:val="20"/>
          <w:szCs w:val="20"/>
        </w:rPr>
        <w:t xml:space="preserve"> </w:t>
      </w:r>
      <w:r w:rsidRPr="00F92719">
        <w:rPr>
          <w:rFonts w:ascii="Rockwell" w:hAnsi="Rockwell"/>
          <w:b/>
          <w:sz w:val="20"/>
          <w:szCs w:val="20"/>
        </w:rPr>
        <w:t>VOCs-</w:t>
      </w:r>
      <w:r w:rsidRPr="00F92719">
        <w:rPr>
          <w:rFonts w:ascii="Rockwell" w:hAnsi="Rockwell"/>
          <w:sz w:val="20"/>
          <w:szCs w:val="20"/>
        </w:rPr>
        <w:t>Volatile Organic Compounds</w:t>
      </w:r>
    </w:p>
    <w:p w:rsidR="00F92719" w:rsidRPr="00F92719" w:rsidRDefault="00F92719" w:rsidP="00F92719">
      <w:pPr>
        <w:spacing w:after="0" w:line="240" w:lineRule="auto"/>
        <w:rPr>
          <w:rFonts w:ascii="Rockwell" w:hAnsi="Rockwell"/>
          <w:sz w:val="20"/>
          <w:szCs w:val="20"/>
        </w:rPr>
      </w:pPr>
      <w:r w:rsidRPr="00F92719">
        <w:rPr>
          <w:rFonts w:ascii="Rockwell" w:hAnsi="Rockwell"/>
          <w:b/>
          <w:sz w:val="20"/>
          <w:szCs w:val="20"/>
        </w:rPr>
        <w:t xml:space="preserve">            NMCH-</w:t>
      </w:r>
      <w:r w:rsidRPr="00F92719">
        <w:rPr>
          <w:rFonts w:ascii="Rockwell" w:hAnsi="Rockwell"/>
          <w:sz w:val="20"/>
          <w:szCs w:val="20"/>
        </w:rPr>
        <w:t>Non</w:t>
      </w:r>
      <w:r w:rsidR="000B3794">
        <w:rPr>
          <w:rFonts w:ascii="Rockwell" w:hAnsi="Rockwell"/>
          <w:sz w:val="20"/>
          <w:szCs w:val="20"/>
        </w:rPr>
        <w:t xml:space="preserve"> </w:t>
      </w:r>
      <w:r w:rsidRPr="00F92719">
        <w:rPr>
          <w:rFonts w:ascii="Rockwell" w:hAnsi="Rockwell"/>
          <w:sz w:val="20"/>
          <w:szCs w:val="20"/>
        </w:rPr>
        <w:t>Methane</w:t>
      </w:r>
      <w:r w:rsidRPr="00F92719">
        <w:rPr>
          <w:rFonts w:ascii="Rockwell" w:hAnsi="Rockwell"/>
          <w:b/>
          <w:sz w:val="20"/>
          <w:szCs w:val="20"/>
        </w:rPr>
        <w:tab/>
        <w:t xml:space="preserve">                                                                         CH4-</w:t>
      </w:r>
      <w:r w:rsidRPr="00F92719">
        <w:rPr>
          <w:rFonts w:ascii="Rockwell" w:hAnsi="Rockwell"/>
          <w:sz w:val="20"/>
          <w:szCs w:val="20"/>
        </w:rPr>
        <w:t xml:space="preserve"> Methane</w:t>
      </w:r>
    </w:p>
    <w:p w:rsidR="00281F8A" w:rsidRDefault="00281F8A" w:rsidP="00281F8A"/>
    <w:p w:rsidR="0019443A" w:rsidRDefault="0019443A" w:rsidP="00281F8A">
      <w:pPr>
        <w:tabs>
          <w:tab w:val="left" w:pos="1230"/>
        </w:tabs>
      </w:pPr>
    </w:p>
    <w:p w:rsidR="000B54D3" w:rsidRDefault="000B54D3" w:rsidP="00281F8A">
      <w:pPr>
        <w:tabs>
          <w:tab w:val="left" w:pos="1230"/>
        </w:tabs>
      </w:pPr>
    </w:p>
    <w:p w:rsidR="000B54D3" w:rsidRDefault="000B54D3" w:rsidP="00281F8A">
      <w:pPr>
        <w:tabs>
          <w:tab w:val="left" w:pos="1230"/>
        </w:tabs>
      </w:pPr>
    </w:p>
    <w:p w:rsidR="00655F30" w:rsidRDefault="00655F30" w:rsidP="00281F8A">
      <w:pPr>
        <w:tabs>
          <w:tab w:val="left" w:pos="1230"/>
        </w:tabs>
      </w:pPr>
    </w:p>
    <w:p w:rsidR="00655F30" w:rsidRDefault="00655F30" w:rsidP="00281F8A">
      <w:pPr>
        <w:tabs>
          <w:tab w:val="left" w:pos="1230"/>
        </w:tabs>
      </w:pPr>
    </w:p>
    <w:p w:rsidR="00655F30" w:rsidRDefault="00655F30" w:rsidP="00281F8A">
      <w:pPr>
        <w:tabs>
          <w:tab w:val="left" w:pos="1230"/>
        </w:tabs>
      </w:pPr>
    </w:p>
    <w:p w:rsidR="00655F30" w:rsidRDefault="00655F30" w:rsidP="00281F8A">
      <w:pPr>
        <w:tabs>
          <w:tab w:val="left" w:pos="1230"/>
        </w:tabs>
      </w:pPr>
    </w:p>
    <w:p w:rsidR="000B54D3" w:rsidRPr="0043708C" w:rsidRDefault="0043708C" w:rsidP="00281F8A">
      <w:pPr>
        <w:tabs>
          <w:tab w:val="left" w:pos="1230"/>
        </w:tabs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In Momba</w:t>
      </w:r>
      <w:r w:rsidRPr="0043708C">
        <w:rPr>
          <w:rFonts w:ascii="Rockwell" w:hAnsi="Rockwell"/>
          <w:sz w:val="24"/>
          <w:szCs w:val="24"/>
        </w:rPr>
        <w:t xml:space="preserve">sa the Air quality Mobile laboratory was stationed at </w:t>
      </w:r>
      <w:proofErr w:type="spellStart"/>
      <w:r w:rsidRPr="0043708C">
        <w:rPr>
          <w:rFonts w:ascii="Rockwell" w:hAnsi="Rockwell"/>
          <w:sz w:val="24"/>
          <w:szCs w:val="24"/>
        </w:rPr>
        <w:t>Makupa</w:t>
      </w:r>
      <w:proofErr w:type="spellEnd"/>
      <w:r w:rsidRPr="0043708C">
        <w:rPr>
          <w:rFonts w:ascii="Rockwell" w:hAnsi="Rockwell"/>
          <w:sz w:val="24"/>
          <w:szCs w:val="24"/>
        </w:rPr>
        <w:t xml:space="preserve"> police station for ambient air quality measurement.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996"/>
        <w:gridCol w:w="1105"/>
        <w:gridCol w:w="1174"/>
        <w:gridCol w:w="1094"/>
        <w:gridCol w:w="960"/>
        <w:gridCol w:w="960"/>
      </w:tblGrid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Timestamp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VOCs (ppb)</w:t>
            </w:r>
          </w:p>
        </w:tc>
        <w:tc>
          <w:tcPr>
            <w:tcW w:w="1105" w:type="dxa"/>
            <w:noWrap/>
            <w:hideMark/>
          </w:tcPr>
          <w:p w:rsidR="00D12B64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H2S</w:t>
            </w:r>
          </w:p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(ug/m3)</w:t>
            </w:r>
          </w:p>
        </w:tc>
        <w:tc>
          <w:tcPr>
            <w:tcW w:w="1174" w:type="dxa"/>
            <w:noWrap/>
            <w:hideMark/>
          </w:tcPr>
          <w:p w:rsidR="00D12B64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PM2.5</w:t>
            </w:r>
          </w:p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 xml:space="preserve">( </w:t>
            </w:r>
            <w:r>
              <w:rPr>
                <w:rFonts w:ascii="Rockwell" w:hAnsi="Rockwell"/>
                <w:b/>
              </w:rPr>
              <w:t>u</w:t>
            </w:r>
            <w:r w:rsidRPr="00126C77">
              <w:rPr>
                <w:rFonts w:ascii="Rockwell" w:hAnsi="Rockwell"/>
                <w:b/>
              </w:rPr>
              <w:t>g/m3)</w:t>
            </w:r>
          </w:p>
        </w:tc>
        <w:tc>
          <w:tcPr>
            <w:tcW w:w="1094" w:type="dxa"/>
            <w:noWrap/>
            <w:hideMark/>
          </w:tcPr>
          <w:p w:rsidR="00D12B64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PM10</w:t>
            </w:r>
          </w:p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(ug/m3)</w:t>
            </w:r>
          </w:p>
        </w:tc>
        <w:tc>
          <w:tcPr>
            <w:tcW w:w="960" w:type="dxa"/>
          </w:tcPr>
          <w:p w:rsidR="00D12B64" w:rsidRPr="00D12B64" w:rsidRDefault="00D12B64" w:rsidP="00D12B64">
            <w:pPr>
              <w:rPr>
                <w:b/>
              </w:rPr>
            </w:pPr>
            <w:r w:rsidRPr="00D12B64">
              <w:rPr>
                <w:b/>
              </w:rPr>
              <w:t>NMHC-(ppm)</w:t>
            </w:r>
          </w:p>
        </w:tc>
        <w:tc>
          <w:tcPr>
            <w:tcW w:w="960" w:type="dxa"/>
            <w:noWrap/>
            <w:hideMark/>
          </w:tcPr>
          <w:p w:rsidR="00D12B64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THC</w:t>
            </w:r>
          </w:p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(ppm)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11/2/2023 8:00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79.057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1.937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4.456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9.142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0.241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0.428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11/2/2023 16:00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111.748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2.085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3.296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5.254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0.358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0.552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11/3/2023 0:00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58.775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2.163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0.636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0.646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0.383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0.569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11/3/2023 8:00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257.943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3.469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4.117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5.174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0.385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0.574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11/3/2023 16:00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206.271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3.49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3.548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3.947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0.382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0.575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11/4/2023 0:00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113.765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1.849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1.027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1.041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0.383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0.576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11/4/2023 8:00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154.422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2.271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2.888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4.675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0.384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0.577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11/4/2023 16:00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88.252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1.877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1.32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1.691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0.385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0.578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11/5/2023 0:00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62.256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1.44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1.11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1.125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0.383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0.575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11/5/2023 8:00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72.962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1.642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1.454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2.307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0.385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0.577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11/5/2023 16:00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59.984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1.262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0.937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1.07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0.386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0.581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11/6/2023 0:00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123.819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1.298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0.824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0.843</w:t>
            </w:r>
          </w:p>
        </w:tc>
        <w:tc>
          <w:tcPr>
            <w:tcW w:w="960" w:type="dxa"/>
          </w:tcPr>
          <w:p w:rsidR="00D12B64" w:rsidRPr="00D05C23" w:rsidRDefault="00D12B64" w:rsidP="00D12B64">
            <w:r w:rsidRPr="00D05C23">
              <w:t>0.386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0.581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11/6/2023 8:00</w:t>
            </w:r>
          </w:p>
        </w:tc>
        <w:tc>
          <w:tcPr>
            <w:tcW w:w="996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217.535</w:t>
            </w:r>
          </w:p>
        </w:tc>
        <w:tc>
          <w:tcPr>
            <w:tcW w:w="1105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2.654</w:t>
            </w:r>
          </w:p>
        </w:tc>
        <w:tc>
          <w:tcPr>
            <w:tcW w:w="117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1.959</w:t>
            </w:r>
          </w:p>
        </w:tc>
        <w:tc>
          <w:tcPr>
            <w:tcW w:w="1094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3.693</w:t>
            </w:r>
          </w:p>
        </w:tc>
        <w:tc>
          <w:tcPr>
            <w:tcW w:w="960" w:type="dxa"/>
          </w:tcPr>
          <w:p w:rsidR="00D12B64" w:rsidRDefault="00D12B64" w:rsidP="00D12B64">
            <w:r w:rsidRPr="00D05C23">
              <w:t>0.121</w:t>
            </w:r>
          </w:p>
        </w:tc>
        <w:tc>
          <w:tcPr>
            <w:tcW w:w="960" w:type="dxa"/>
            <w:noWrap/>
            <w:hideMark/>
          </w:tcPr>
          <w:p w:rsidR="00D12B64" w:rsidRPr="00126C77" w:rsidRDefault="00D12B64" w:rsidP="00D12B64">
            <w:pPr>
              <w:tabs>
                <w:tab w:val="left" w:pos="1230"/>
              </w:tabs>
              <w:rPr>
                <w:rFonts w:ascii="Rockwell" w:hAnsi="Rockwell"/>
              </w:rPr>
            </w:pPr>
            <w:r w:rsidRPr="00126C77">
              <w:rPr>
                <w:rFonts w:ascii="Rockwell" w:hAnsi="Rockwell"/>
              </w:rPr>
              <w:t>0.309</w:t>
            </w:r>
          </w:p>
        </w:tc>
      </w:tr>
      <w:tr w:rsidR="00D12B64" w:rsidRPr="000B54D3" w:rsidTr="00D12B64">
        <w:trPr>
          <w:trHeight w:val="300"/>
        </w:trPr>
        <w:tc>
          <w:tcPr>
            <w:tcW w:w="1760" w:type="dxa"/>
            <w:noWrap/>
          </w:tcPr>
          <w:p w:rsidR="00D12B64" w:rsidRDefault="00D12B64" w:rsidP="00126C77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Air quality</w:t>
            </w:r>
          </w:p>
          <w:p w:rsidR="00D12B64" w:rsidRPr="00126C77" w:rsidRDefault="00D12B64" w:rsidP="00126C77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 xml:space="preserve"> 24 hours Average</w:t>
            </w:r>
          </w:p>
          <w:p w:rsidR="00D12B64" w:rsidRPr="00126C77" w:rsidRDefault="00D12B64" w:rsidP="00126C77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STD</w:t>
            </w:r>
          </w:p>
        </w:tc>
        <w:tc>
          <w:tcPr>
            <w:tcW w:w="996" w:type="dxa"/>
            <w:noWrap/>
          </w:tcPr>
          <w:p w:rsidR="00D12B64" w:rsidRPr="00126C77" w:rsidRDefault="00D12B6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600</w:t>
            </w:r>
          </w:p>
        </w:tc>
        <w:tc>
          <w:tcPr>
            <w:tcW w:w="1105" w:type="dxa"/>
            <w:noWrap/>
          </w:tcPr>
          <w:p w:rsidR="00D12B64" w:rsidRPr="00126C77" w:rsidRDefault="007D32D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50</w:t>
            </w:r>
          </w:p>
        </w:tc>
        <w:tc>
          <w:tcPr>
            <w:tcW w:w="1174" w:type="dxa"/>
            <w:noWrap/>
          </w:tcPr>
          <w:p w:rsidR="00D12B64" w:rsidRPr="00126C77" w:rsidRDefault="00D12B6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50</w:t>
            </w:r>
          </w:p>
        </w:tc>
        <w:tc>
          <w:tcPr>
            <w:tcW w:w="1094" w:type="dxa"/>
            <w:noWrap/>
          </w:tcPr>
          <w:p w:rsidR="00D12B64" w:rsidRPr="00126C77" w:rsidRDefault="00D12B6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 w:rsidRPr="00126C77">
              <w:rPr>
                <w:rFonts w:ascii="Rockwell" w:hAnsi="Rockwell"/>
                <w:b/>
              </w:rPr>
              <w:t>50</w:t>
            </w:r>
          </w:p>
        </w:tc>
        <w:tc>
          <w:tcPr>
            <w:tcW w:w="960" w:type="dxa"/>
          </w:tcPr>
          <w:p w:rsidR="00D12B64" w:rsidRPr="00126C77" w:rsidRDefault="007D32D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700</w:t>
            </w:r>
          </w:p>
        </w:tc>
        <w:tc>
          <w:tcPr>
            <w:tcW w:w="960" w:type="dxa"/>
            <w:noWrap/>
          </w:tcPr>
          <w:p w:rsidR="00D12B64" w:rsidRPr="00126C77" w:rsidRDefault="007D32D4" w:rsidP="000B54D3">
            <w:pPr>
              <w:tabs>
                <w:tab w:val="left" w:pos="1230"/>
              </w:tabs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</w:rPr>
              <w:t>600</w:t>
            </w:r>
          </w:p>
        </w:tc>
      </w:tr>
    </w:tbl>
    <w:p w:rsidR="007D32D4" w:rsidRDefault="007D32D4" w:rsidP="00281F8A">
      <w:pPr>
        <w:tabs>
          <w:tab w:val="left" w:pos="1230"/>
        </w:tabs>
      </w:pPr>
    </w:p>
    <w:p w:rsidR="007D32D4" w:rsidRPr="007D32D4" w:rsidRDefault="007D32D4" w:rsidP="007D32D4"/>
    <w:p w:rsidR="007D32D4" w:rsidRPr="00062CBB" w:rsidRDefault="007D32D4" w:rsidP="00062CBB">
      <w:pPr>
        <w:rPr>
          <w:rFonts w:ascii="Rockwell" w:hAnsi="Rockwell"/>
        </w:rPr>
      </w:pPr>
      <w:r w:rsidRPr="00062CBB">
        <w:rPr>
          <w:rFonts w:ascii="Rockwell" w:hAnsi="Rockwell"/>
        </w:rPr>
        <w:t xml:space="preserve">AMBIENT Air Quality Monitory Data for the World Environment Day at St. </w:t>
      </w:r>
      <w:r w:rsidR="00062CBB">
        <w:rPr>
          <w:rFonts w:ascii="Rockwell" w:hAnsi="Rockwell"/>
        </w:rPr>
        <w:t>Hannah Girls, School, Karen, Nairobi</w:t>
      </w:r>
    </w:p>
    <w:tbl>
      <w:tblPr>
        <w:tblStyle w:val="TableGrid"/>
        <w:tblpPr w:leftFromText="180" w:rightFromText="180" w:vertAnchor="text" w:horzAnchor="margin" w:tblpX="-195" w:tblpY="561"/>
        <w:tblW w:w="8280" w:type="dxa"/>
        <w:tblLayout w:type="fixed"/>
        <w:tblLook w:val="04A0" w:firstRow="1" w:lastRow="0" w:firstColumn="1" w:lastColumn="0" w:noHBand="0" w:noVBand="1"/>
      </w:tblPr>
      <w:tblGrid>
        <w:gridCol w:w="1255"/>
        <w:gridCol w:w="900"/>
        <w:gridCol w:w="1080"/>
        <w:gridCol w:w="900"/>
        <w:gridCol w:w="810"/>
        <w:gridCol w:w="720"/>
        <w:gridCol w:w="810"/>
        <w:gridCol w:w="815"/>
        <w:gridCol w:w="990"/>
      </w:tblGrid>
      <w:tr w:rsidR="00062CBB" w:rsidTr="00062CBB">
        <w:trPr>
          <w:trHeight w:val="755"/>
        </w:trPr>
        <w:tc>
          <w:tcPr>
            <w:tcW w:w="1255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sz w:val="20"/>
              </w:rPr>
              <w:t>TIME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sz w:val="20"/>
              </w:rPr>
              <w:t>units</w:t>
            </w:r>
          </w:p>
        </w:tc>
        <w:tc>
          <w:tcPr>
            <w:tcW w:w="90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eastAsiaTheme="minorHAnsi" w:hAnsi="Rockwell" w:cstheme="minorBidi"/>
                <w:b/>
                <w:bCs/>
                <w:sz w:val="20"/>
                <w:szCs w:val="22"/>
              </w:rPr>
            </w:pPr>
            <w:r w:rsidRPr="002F0034">
              <w:rPr>
                <w:rFonts w:ascii="Rockwell" w:hAnsi="Rockwell"/>
                <w:b/>
                <w:sz w:val="20"/>
              </w:rPr>
              <w:t>H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2</w:t>
            </w:r>
            <w:r w:rsidRPr="002F0034">
              <w:rPr>
                <w:rFonts w:ascii="Rockwell" w:hAnsi="Rockwell"/>
                <w:b/>
                <w:sz w:val="20"/>
              </w:rPr>
              <w:t>S</w:t>
            </w:r>
            <w:r w:rsidRPr="002F0034">
              <w:rPr>
                <w:rFonts w:ascii="Rockwell" w:eastAsiaTheme="minorHAnsi" w:hAnsi="Rockwell" w:cstheme="minorBidi"/>
                <w:b/>
                <w:bCs/>
                <w:sz w:val="20"/>
                <w:szCs w:val="22"/>
              </w:rPr>
              <w:t xml:space="preserve"> 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eastAsiaTheme="minorHAnsi" w:hAnsi="Rockwell" w:cstheme="minorBidi"/>
                <w:b/>
                <w:bCs/>
                <w:sz w:val="20"/>
                <w:szCs w:val="22"/>
              </w:rPr>
            </w:pPr>
            <w:r w:rsidRPr="002F0034">
              <w:rPr>
                <w:rFonts w:ascii="Rockwell" w:eastAsiaTheme="minorHAnsi" w:hAnsi="Rockwell" w:cstheme="minorBidi"/>
                <w:b/>
                <w:bCs/>
                <w:sz w:val="20"/>
                <w:szCs w:val="22"/>
                <w:vertAlign w:val="subscript"/>
              </w:rPr>
              <w:t>ppb</w:t>
            </w:r>
          </w:p>
        </w:tc>
        <w:tc>
          <w:tcPr>
            <w:tcW w:w="108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  <w:vertAlign w:val="subscript"/>
              </w:rPr>
            </w:pPr>
            <w:r w:rsidRPr="002F0034">
              <w:rPr>
                <w:rFonts w:ascii="Rockwell" w:hAnsi="Rockwell"/>
                <w:b/>
                <w:sz w:val="20"/>
              </w:rPr>
              <w:t>NH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3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ppb</w:t>
            </w:r>
          </w:p>
        </w:tc>
        <w:tc>
          <w:tcPr>
            <w:tcW w:w="90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sz w:val="20"/>
              </w:rPr>
              <w:t>VOC’S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ppb</w:t>
            </w:r>
          </w:p>
        </w:tc>
        <w:tc>
          <w:tcPr>
            <w:tcW w:w="81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  <w:vertAlign w:val="subscript"/>
              </w:rPr>
            </w:pPr>
            <w:r w:rsidRPr="002F0034">
              <w:rPr>
                <w:rFonts w:ascii="Rockwell" w:hAnsi="Rockwell"/>
                <w:b/>
                <w:sz w:val="20"/>
              </w:rPr>
              <w:t>PM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2.5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µg/m³</w:t>
            </w:r>
          </w:p>
        </w:tc>
        <w:tc>
          <w:tcPr>
            <w:tcW w:w="72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  <w:vertAlign w:val="subscript"/>
              </w:rPr>
            </w:pPr>
            <w:r w:rsidRPr="002F0034">
              <w:rPr>
                <w:rFonts w:ascii="Rockwell" w:hAnsi="Rockwell"/>
                <w:b/>
                <w:sz w:val="20"/>
              </w:rPr>
              <w:t>PM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10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µg/m³</w:t>
            </w:r>
          </w:p>
        </w:tc>
        <w:tc>
          <w:tcPr>
            <w:tcW w:w="81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sz w:val="20"/>
              </w:rPr>
              <w:t>CO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ppb</w:t>
            </w:r>
          </w:p>
        </w:tc>
        <w:tc>
          <w:tcPr>
            <w:tcW w:w="815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  <w:vertAlign w:val="subscript"/>
              </w:rPr>
            </w:pPr>
            <w:r w:rsidRPr="002F0034">
              <w:rPr>
                <w:rFonts w:ascii="Rockwell" w:hAnsi="Rockwell"/>
                <w:b/>
                <w:sz w:val="20"/>
              </w:rPr>
              <w:t>C0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2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ppb</w:t>
            </w:r>
          </w:p>
        </w:tc>
        <w:tc>
          <w:tcPr>
            <w:tcW w:w="990" w:type="dxa"/>
          </w:tcPr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  <w:vertAlign w:val="subscript"/>
              </w:rPr>
            </w:pPr>
            <w:r w:rsidRPr="002F0034">
              <w:rPr>
                <w:rFonts w:ascii="Rockwell" w:hAnsi="Rockwell"/>
                <w:b/>
                <w:sz w:val="20"/>
              </w:rPr>
              <w:t>0</w:t>
            </w:r>
            <w:r w:rsidRPr="002F0034">
              <w:rPr>
                <w:rFonts w:ascii="Rockwell" w:hAnsi="Rockwell"/>
                <w:b/>
                <w:sz w:val="20"/>
                <w:vertAlign w:val="subscript"/>
              </w:rPr>
              <w:t>3</w:t>
            </w:r>
          </w:p>
          <w:p w:rsidR="007D32D4" w:rsidRPr="002F0034" w:rsidRDefault="007D32D4" w:rsidP="007D32D4">
            <w:pPr>
              <w:pStyle w:val="NormalWeb"/>
              <w:spacing w:line="240" w:lineRule="exact"/>
              <w:contextualSpacing/>
              <w:rPr>
                <w:rFonts w:ascii="Rockwell" w:hAnsi="Rockwell"/>
                <w:b/>
                <w:sz w:val="20"/>
              </w:rPr>
            </w:pPr>
            <w:r w:rsidRPr="002F0034">
              <w:rPr>
                <w:rFonts w:ascii="Rockwell" w:hAnsi="Rockwell"/>
                <w:b/>
                <w:bCs/>
                <w:sz w:val="20"/>
                <w:vertAlign w:val="subscript"/>
              </w:rPr>
              <w:t>µg/m³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11:30am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1.069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 w:rsidRPr="00F750E1">
              <w:rPr>
                <w:rFonts w:ascii="Rockwell" w:hAnsi="Rockwell"/>
              </w:rPr>
              <w:t>0.00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 w:rsidRPr="00F750E1">
              <w:rPr>
                <w:rFonts w:ascii="Rockwell" w:hAnsi="Rockwell"/>
              </w:rPr>
              <w:t>0.00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4.9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5.2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0.41</w:t>
            </w:r>
          </w:p>
        </w:tc>
        <w:tc>
          <w:tcPr>
            <w:tcW w:w="81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0.82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13.346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11:45am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2.309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56.03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0.03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2.7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2.6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0.47</w:t>
            </w:r>
          </w:p>
        </w:tc>
        <w:tc>
          <w:tcPr>
            <w:tcW w:w="81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0.81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11.939</w:t>
            </w:r>
          </w:p>
        </w:tc>
      </w:tr>
      <w:tr w:rsidR="00062CBB" w:rsidTr="00062CBB">
        <w:trPr>
          <w:trHeight w:val="393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12:00pm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1.776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22.73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0.006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2.1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 w:rsidRPr="00C218F1">
              <w:rPr>
                <w:rFonts w:ascii="Rockwell" w:hAnsi="Rockwell"/>
              </w:rPr>
              <w:t>2.5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0.48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0.81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12.223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12:15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-0.035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15.17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0.001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3.6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3.0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0.5</w:t>
            </w:r>
            <w:r w:rsidRPr="00F750E1">
              <w:rPr>
                <w:rFonts w:ascii="Rockwell" w:hAnsi="Rockwell"/>
              </w:rPr>
              <w:t>1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0.80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12.941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lastRenderedPageBreak/>
              <w:t>12:30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1.208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21.11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0.003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2.5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2.7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0.56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0.81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18.338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12:45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0.670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18.92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0.004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2.5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2.8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0.55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0.80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17.638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13:00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0.944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60.62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0.008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2.7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3.2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0.58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0.71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21.637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13:15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1.033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-38.71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0.008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2.7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3.1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0.60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0.78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16.014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13:30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1.190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32.84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0.009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2.6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2.8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0.61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0.80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16.309</w:t>
            </w:r>
          </w:p>
        </w:tc>
      </w:tr>
      <w:tr w:rsidR="00062CBB" w:rsidTr="00062CBB">
        <w:trPr>
          <w:trHeight w:val="393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13:45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1.203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6.37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0.004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1.3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1.6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0.67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0.79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19.213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14:15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1.021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-10.18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0.005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2.8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2.8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0.66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0.80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16.799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14:30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1.296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28.22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0.007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3.2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3.2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0.70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0.78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15.258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14:45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1.042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43.56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0.006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2.3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3.1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0.67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0.82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16.309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15:00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1.217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19.23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0.004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4.8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5.1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0.70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0.82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14.241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15:15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1.228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-14.19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0.019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2.7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3.2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0.72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rPr>
                <w:rFonts w:ascii="Rockwell" w:hAnsi="Rockwell"/>
              </w:rPr>
            </w:pPr>
            <w:r w:rsidRPr="00062CBB">
              <w:rPr>
                <w:rFonts w:ascii="Rockwell" w:hAnsi="Rockwell"/>
              </w:rPr>
              <w:t>0.82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16.742</w:t>
            </w:r>
          </w:p>
        </w:tc>
      </w:tr>
      <w:tr w:rsidR="00062CBB" w:rsidTr="00062CBB">
        <w:trPr>
          <w:trHeight w:val="408"/>
        </w:trPr>
        <w:tc>
          <w:tcPr>
            <w:tcW w:w="1255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15:30</w:t>
            </w:r>
          </w:p>
        </w:tc>
        <w:tc>
          <w:tcPr>
            <w:tcW w:w="900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0.349</w:t>
            </w:r>
          </w:p>
        </w:tc>
        <w:tc>
          <w:tcPr>
            <w:tcW w:w="108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144.26</w:t>
            </w:r>
          </w:p>
        </w:tc>
        <w:tc>
          <w:tcPr>
            <w:tcW w:w="90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0.010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3.6</w:t>
            </w:r>
          </w:p>
        </w:tc>
        <w:tc>
          <w:tcPr>
            <w:tcW w:w="72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4.0</w:t>
            </w:r>
          </w:p>
        </w:tc>
        <w:tc>
          <w:tcPr>
            <w:tcW w:w="81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0.30</w:t>
            </w:r>
          </w:p>
        </w:tc>
        <w:tc>
          <w:tcPr>
            <w:tcW w:w="815" w:type="dxa"/>
          </w:tcPr>
          <w:p w:rsidR="007D32D4" w:rsidRPr="00062CBB" w:rsidRDefault="007D32D4" w:rsidP="007D32D4">
            <w:pPr>
              <w:pStyle w:val="NormalWeb"/>
              <w:spacing w:line="360" w:lineRule="auto"/>
              <w:rPr>
                <w:rFonts w:ascii="Rockwell" w:hAnsi="Rockwell"/>
                <w:sz w:val="22"/>
                <w:szCs w:val="22"/>
              </w:rPr>
            </w:pPr>
            <w:r w:rsidRPr="00062CBB">
              <w:rPr>
                <w:rFonts w:ascii="Rockwell" w:hAnsi="Rockwell"/>
                <w:sz w:val="22"/>
                <w:szCs w:val="22"/>
              </w:rPr>
              <w:t>0.79</w:t>
            </w:r>
          </w:p>
        </w:tc>
        <w:tc>
          <w:tcPr>
            <w:tcW w:w="990" w:type="dxa"/>
          </w:tcPr>
          <w:p w:rsidR="007D32D4" w:rsidRDefault="007D32D4" w:rsidP="007D32D4">
            <w:pPr>
              <w:pStyle w:val="NormalWeb"/>
              <w:spacing w:line="360" w:lineRule="auto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16.675</w:t>
            </w:r>
          </w:p>
        </w:tc>
      </w:tr>
      <w:tr w:rsidR="007D32D4" w:rsidTr="00062CBB">
        <w:trPr>
          <w:trHeight w:val="408"/>
        </w:trPr>
        <w:tc>
          <w:tcPr>
            <w:tcW w:w="1255" w:type="dxa"/>
          </w:tcPr>
          <w:p w:rsidR="00062CBB" w:rsidRDefault="007D32D4" w:rsidP="007D32D4">
            <w:pPr>
              <w:tabs>
                <w:tab w:val="left" w:pos="1230"/>
              </w:tabs>
              <w:spacing w:after="160" w:line="259" w:lineRule="auto"/>
              <w:rPr>
                <w:rFonts w:ascii="Rockwell" w:hAnsi="Rockwell"/>
                <w:b/>
                <w:lang w:val="en-US"/>
              </w:rPr>
            </w:pPr>
            <w:r w:rsidRPr="007D32D4">
              <w:rPr>
                <w:rFonts w:ascii="Rockwell" w:hAnsi="Rockwell"/>
                <w:b/>
                <w:lang w:val="en-US"/>
              </w:rPr>
              <w:t>Air quality</w:t>
            </w:r>
          </w:p>
          <w:p w:rsidR="00062CBB" w:rsidRDefault="007D32D4" w:rsidP="00062CBB">
            <w:pPr>
              <w:tabs>
                <w:tab w:val="left" w:pos="1230"/>
              </w:tabs>
              <w:spacing w:after="160" w:line="259" w:lineRule="auto"/>
              <w:rPr>
                <w:rFonts w:ascii="Rockwell" w:hAnsi="Rockwell"/>
                <w:b/>
                <w:lang w:val="en-US"/>
              </w:rPr>
            </w:pPr>
            <w:r w:rsidRPr="007D32D4">
              <w:rPr>
                <w:rFonts w:ascii="Rockwell" w:hAnsi="Rockwell"/>
                <w:b/>
                <w:lang w:val="en-US"/>
              </w:rPr>
              <w:t xml:space="preserve"> 24 hours Average</w:t>
            </w:r>
          </w:p>
          <w:p w:rsidR="007D32D4" w:rsidRDefault="007D32D4" w:rsidP="00062CBB">
            <w:pPr>
              <w:tabs>
                <w:tab w:val="left" w:pos="1230"/>
              </w:tabs>
              <w:spacing w:after="160" w:line="259" w:lineRule="auto"/>
              <w:rPr>
                <w:rFonts w:ascii="Rockwell" w:hAnsi="Rockwell"/>
              </w:rPr>
            </w:pPr>
            <w:r w:rsidRPr="007D32D4">
              <w:rPr>
                <w:rFonts w:ascii="Rockwell" w:hAnsi="Rockwell"/>
                <w:b/>
                <w:lang w:val="en-US"/>
              </w:rPr>
              <w:t>STD</w:t>
            </w:r>
          </w:p>
        </w:tc>
        <w:tc>
          <w:tcPr>
            <w:tcW w:w="900" w:type="dxa"/>
          </w:tcPr>
          <w:p w:rsidR="007D32D4" w:rsidRPr="004F0A5E" w:rsidRDefault="00062CBB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  <w:r w:rsidRPr="004F0A5E">
              <w:rPr>
                <w:rFonts w:ascii="Rockwell" w:hAnsi="Rockwell"/>
                <w:b/>
              </w:rPr>
              <w:t>50</w:t>
            </w:r>
          </w:p>
        </w:tc>
        <w:tc>
          <w:tcPr>
            <w:tcW w:w="1080" w:type="dxa"/>
          </w:tcPr>
          <w:p w:rsidR="007D32D4" w:rsidRPr="004F0A5E" w:rsidRDefault="007D32D4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</w:p>
        </w:tc>
        <w:tc>
          <w:tcPr>
            <w:tcW w:w="900" w:type="dxa"/>
          </w:tcPr>
          <w:p w:rsidR="007D32D4" w:rsidRPr="004F0A5E" w:rsidRDefault="00256603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  <w:r w:rsidRPr="004F0A5E">
              <w:rPr>
                <w:rFonts w:ascii="Rockwell" w:hAnsi="Rockwell"/>
                <w:b/>
              </w:rPr>
              <w:t>600</w:t>
            </w:r>
          </w:p>
        </w:tc>
        <w:tc>
          <w:tcPr>
            <w:tcW w:w="810" w:type="dxa"/>
          </w:tcPr>
          <w:p w:rsidR="007D32D4" w:rsidRPr="004F0A5E" w:rsidRDefault="00256603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  <w:r w:rsidRPr="004F0A5E">
              <w:rPr>
                <w:rFonts w:ascii="Rockwell" w:hAnsi="Rockwell"/>
                <w:b/>
              </w:rPr>
              <w:t>50</w:t>
            </w:r>
          </w:p>
        </w:tc>
        <w:tc>
          <w:tcPr>
            <w:tcW w:w="720" w:type="dxa"/>
          </w:tcPr>
          <w:p w:rsidR="007D32D4" w:rsidRPr="004F0A5E" w:rsidRDefault="00256603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  <w:r w:rsidRPr="004F0A5E">
              <w:rPr>
                <w:rFonts w:ascii="Rockwell" w:hAnsi="Rockwell"/>
                <w:b/>
              </w:rPr>
              <w:t>50</w:t>
            </w:r>
          </w:p>
        </w:tc>
        <w:tc>
          <w:tcPr>
            <w:tcW w:w="810" w:type="dxa"/>
          </w:tcPr>
          <w:p w:rsidR="007D32D4" w:rsidRPr="004F0A5E" w:rsidRDefault="007D32D4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</w:p>
        </w:tc>
        <w:tc>
          <w:tcPr>
            <w:tcW w:w="815" w:type="dxa"/>
          </w:tcPr>
          <w:p w:rsidR="007D32D4" w:rsidRPr="004F0A5E" w:rsidRDefault="007D32D4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</w:p>
        </w:tc>
        <w:tc>
          <w:tcPr>
            <w:tcW w:w="990" w:type="dxa"/>
          </w:tcPr>
          <w:p w:rsidR="007D32D4" w:rsidRPr="004F0A5E" w:rsidRDefault="007D32D4" w:rsidP="007D32D4">
            <w:pPr>
              <w:pStyle w:val="NormalWeb"/>
              <w:spacing w:line="360" w:lineRule="auto"/>
              <w:rPr>
                <w:rFonts w:ascii="Rockwell" w:hAnsi="Rockwell"/>
                <w:b/>
              </w:rPr>
            </w:pPr>
          </w:p>
        </w:tc>
      </w:tr>
    </w:tbl>
    <w:p w:rsidR="007D32D4" w:rsidRDefault="007D32D4" w:rsidP="007D32D4">
      <w:pPr>
        <w:pStyle w:val="NormalWeb"/>
        <w:spacing w:line="360" w:lineRule="auto"/>
        <w:rPr>
          <w:rFonts w:ascii="Rockwell" w:hAnsi="Rockwell"/>
        </w:rPr>
      </w:pPr>
    </w:p>
    <w:p w:rsidR="007D32D4" w:rsidRDefault="007D32D4" w:rsidP="007D32D4">
      <w:pPr>
        <w:pStyle w:val="NormalWeb"/>
        <w:spacing w:line="360" w:lineRule="auto"/>
        <w:rPr>
          <w:rFonts w:ascii="Rockwell" w:hAnsi="Rockwell"/>
        </w:rPr>
      </w:pPr>
    </w:p>
    <w:p w:rsidR="000B54D3" w:rsidRPr="007D32D4" w:rsidRDefault="000B54D3" w:rsidP="007D32D4"/>
    <w:sectPr w:rsidR="000B54D3" w:rsidRPr="007D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8A"/>
    <w:rsid w:val="00062CBB"/>
    <w:rsid w:val="000B3794"/>
    <w:rsid w:val="000B54D3"/>
    <w:rsid w:val="00126C77"/>
    <w:rsid w:val="0019443A"/>
    <w:rsid w:val="00256603"/>
    <w:rsid w:val="00281F8A"/>
    <w:rsid w:val="0043708C"/>
    <w:rsid w:val="004F0A5E"/>
    <w:rsid w:val="00655F30"/>
    <w:rsid w:val="007D32D4"/>
    <w:rsid w:val="00827D9A"/>
    <w:rsid w:val="00A05808"/>
    <w:rsid w:val="00A35C3B"/>
    <w:rsid w:val="00AD266F"/>
    <w:rsid w:val="00D12B64"/>
    <w:rsid w:val="00F84F9D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32A5-9D6B-42C6-9175-A36E1E3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719"/>
    <w:pPr>
      <w:spacing w:after="0" w:line="240" w:lineRule="auto"/>
    </w:pPr>
    <w:rPr>
      <w:lang w:val="sw-K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Marcellah Ojiambo</dc:creator>
  <cp:keywords/>
  <dc:description/>
  <cp:lastModifiedBy>Microsoft Office User</cp:lastModifiedBy>
  <cp:revision>2</cp:revision>
  <dcterms:created xsi:type="dcterms:W3CDTF">2024-07-31T07:27:00Z</dcterms:created>
  <dcterms:modified xsi:type="dcterms:W3CDTF">2024-07-31T07:27:00Z</dcterms:modified>
</cp:coreProperties>
</file>