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01" w:rsidRPr="00432BCF" w:rsidRDefault="00B80101" w:rsidP="00B80101">
      <w:pPr>
        <w:spacing w:line="252" w:lineRule="auto"/>
        <w:contextualSpacing/>
        <w:rPr>
          <w:rFonts w:ascii="Rockwell" w:eastAsia="Times New Roman" w:hAnsi="Rockwell" w:cs="Times New Roman"/>
          <w:b/>
          <w:sz w:val="24"/>
          <w:szCs w:val="24"/>
        </w:rPr>
      </w:pPr>
      <w:bookmarkStart w:id="0" w:name="_GoBack"/>
      <w:bookmarkEnd w:id="0"/>
      <w:r w:rsidRPr="00432BCF">
        <w:rPr>
          <w:rFonts w:ascii="Rockwell" w:eastAsia="Times New Roman" w:hAnsi="Rockwell" w:cs="Times New Roman"/>
          <w:b/>
          <w:sz w:val="24"/>
          <w:szCs w:val="24"/>
        </w:rPr>
        <w:t>GREEN CLIMATE FUND’S RESULT AREAS</w:t>
      </w:r>
    </w:p>
    <w:p w:rsidR="00B80101" w:rsidRPr="00432BCF" w:rsidRDefault="00B80101" w:rsidP="00B80101">
      <w:pPr>
        <w:spacing w:line="252" w:lineRule="auto"/>
        <w:ind w:left="720"/>
        <w:contextualSpacing/>
        <w:rPr>
          <w:rFonts w:ascii="Rockwell" w:eastAsia="Times New Roman" w:hAnsi="Rockwell" w:cs="Times New Roman"/>
          <w:sz w:val="24"/>
          <w:szCs w:val="24"/>
        </w:rPr>
      </w:pPr>
    </w:p>
    <w:p w:rsidR="00B80101" w:rsidRPr="00432BCF" w:rsidRDefault="00B80101" w:rsidP="00B80101">
      <w:pPr>
        <w:spacing w:after="0" w:line="240" w:lineRule="auto"/>
        <w:jc w:val="both"/>
        <w:rPr>
          <w:rFonts w:ascii="Rockwell" w:eastAsia="Times New Roman" w:hAnsi="Rockwell" w:cs="Arial"/>
          <w:sz w:val="24"/>
          <w:szCs w:val="24"/>
        </w:rPr>
      </w:pPr>
      <w:r w:rsidRPr="00432BCF">
        <w:rPr>
          <w:rFonts w:ascii="Rockwell" w:eastAsia="Times New Roman" w:hAnsi="Rockwell" w:cs="Arial"/>
          <w:sz w:val="24"/>
          <w:szCs w:val="24"/>
        </w:rPr>
        <w:t xml:space="preserve">GCF has eight results areas that have been targeted because of their potential to deliver a substantial impact on mitigation and adaptation. The eight results areas cover both mitigation and adaptation and provide the reference points that will guide the Fund and its stakeholders to ensure a strategic approach when developing  </w:t>
      </w:r>
      <w:proofErr w:type="spellStart"/>
      <w:r w:rsidRPr="00432BCF">
        <w:rPr>
          <w:rFonts w:ascii="Rockwell" w:eastAsia="Times New Roman" w:hAnsi="Rockwell" w:cs="Arial"/>
          <w:sz w:val="24"/>
          <w:szCs w:val="24"/>
        </w:rPr>
        <w:t>programmes</w:t>
      </w:r>
      <w:proofErr w:type="spellEnd"/>
      <w:r w:rsidRPr="00432BCF">
        <w:rPr>
          <w:rFonts w:ascii="Rockwell" w:eastAsia="Times New Roman" w:hAnsi="Rockwell" w:cs="Arial"/>
          <w:sz w:val="24"/>
          <w:szCs w:val="24"/>
        </w:rPr>
        <w:t xml:space="preserve"> and projects, while respecting the needs and priorities of individual countries. These are </w:t>
      </w:r>
    </w:p>
    <w:p w:rsidR="00B80101" w:rsidRPr="00432BCF" w:rsidRDefault="00B80101" w:rsidP="00B80101">
      <w:pPr>
        <w:spacing w:after="0" w:line="240" w:lineRule="auto"/>
        <w:jc w:val="both"/>
        <w:rPr>
          <w:rFonts w:ascii="Rockwell" w:eastAsia="Times New Roman" w:hAnsi="Rockwell" w:cs="Arial"/>
          <w:sz w:val="24"/>
          <w:szCs w:val="24"/>
        </w:rPr>
      </w:pPr>
    </w:p>
    <w:p w:rsidR="00B80101" w:rsidRPr="00826382" w:rsidRDefault="00B80101" w:rsidP="00B80101">
      <w:pPr>
        <w:spacing w:line="252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826382">
        <w:rPr>
          <w:rFonts w:ascii="Rockwell" w:eastAsia="Times New Roman" w:hAnsi="Rockwell" w:cs="Times New Roman"/>
          <w:b/>
          <w:sz w:val="24"/>
          <w:szCs w:val="24"/>
        </w:rPr>
        <w:t>Under Mitigation;</w:t>
      </w:r>
    </w:p>
    <w:p w:rsidR="00B80101" w:rsidRPr="00432BCF" w:rsidRDefault="00B80101" w:rsidP="00B80101">
      <w:pPr>
        <w:numPr>
          <w:ilvl w:val="0"/>
          <w:numId w:val="1"/>
        </w:numPr>
        <w:spacing w:line="252" w:lineRule="auto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Energy access and power generation</w:t>
      </w:r>
    </w:p>
    <w:p w:rsidR="00B80101" w:rsidRPr="00432BCF" w:rsidRDefault="00B80101" w:rsidP="00B80101">
      <w:pPr>
        <w:spacing w:line="252" w:lineRule="auto"/>
        <w:ind w:left="720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 xml:space="preserve">E.g. on-grid, micro-grid or off-grid solar, wind, geothermal.  </w:t>
      </w:r>
    </w:p>
    <w:p w:rsidR="00B80101" w:rsidRPr="00432BCF" w:rsidRDefault="00B80101" w:rsidP="00B80101">
      <w:pPr>
        <w:numPr>
          <w:ilvl w:val="0"/>
          <w:numId w:val="1"/>
        </w:numPr>
        <w:spacing w:line="252" w:lineRule="auto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Low emission transport</w:t>
      </w:r>
    </w:p>
    <w:p w:rsidR="00B80101" w:rsidRPr="00432BCF" w:rsidRDefault="00B80101" w:rsidP="00B80101">
      <w:pPr>
        <w:spacing w:line="252" w:lineRule="auto"/>
        <w:ind w:left="720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E.g. high-speed rail, rapid bus system, etc.</w:t>
      </w:r>
    </w:p>
    <w:p w:rsidR="00B80101" w:rsidRPr="00432BCF" w:rsidRDefault="00B80101" w:rsidP="00B80101">
      <w:pPr>
        <w:numPr>
          <w:ilvl w:val="0"/>
          <w:numId w:val="1"/>
        </w:numPr>
        <w:spacing w:line="252" w:lineRule="auto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Buildings, cities, industries and appliances</w:t>
      </w:r>
    </w:p>
    <w:p w:rsidR="00B80101" w:rsidRPr="00432BCF" w:rsidRDefault="00B80101" w:rsidP="00B80101">
      <w:pPr>
        <w:spacing w:line="252" w:lineRule="auto"/>
        <w:ind w:left="720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E.g. new and retrofitted energy-efficient buildings, energy-efficient equipment for companies and supply chain management, etc.</w:t>
      </w:r>
    </w:p>
    <w:p w:rsidR="00B80101" w:rsidRPr="00432BCF" w:rsidRDefault="00B80101" w:rsidP="00B80101">
      <w:pPr>
        <w:numPr>
          <w:ilvl w:val="0"/>
          <w:numId w:val="1"/>
        </w:numPr>
        <w:spacing w:line="252" w:lineRule="auto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Forestry and land use</w:t>
      </w:r>
    </w:p>
    <w:p w:rsidR="00B80101" w:rsidRPr="00432BCF" w:rsidRDefault="00B80101" w:rsidP="00B80101">
      <w:pPr>
        <w:spacing w:line="252" w:lineRule="auto"/>
        <w:ind w:left="720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E.g. forest conservation and management, agroforestry, agricultural irrigation, water treatment and       management, etc.</w:t>
      </w:r>
    </w:p>
    <w:p w:rsidR="00B80101" w:rsidRPr="00432BCF" w:rsidRDefault="00B80101" w:rsidP="00B80101">
      <w:pPr>
        <w:spacing w:line="252" w:lineRule="auto"/>
        <w:ind w:left="720"/>
        <w:contextualSpacing/>
        <w:rPr>
          <w:rFonts w:ascii="Rockwell" w:eastAsia="Times New Roman" w:hAnsi="Rockwell" w:cs="Times New Roman"/>
          <w:sz w:val="24"/>
          <w:szCs w:val="24"/>
        </w:rPr>
      </w:pPr>
    </w:p>
    <w:p w:rsidR="00B80101" w:rsidRPr="00432BCF" w:rsidRDefault="00B80101" w:rsidP="00B80101">
      <w:pPr>
        <w:spacing w:line="252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432BCF">
        <w:rPr>
          <w:rFonts w:ascii="Rockwell" w:eastAsia="Times New Roman" w:hAnsi="Rockwell" w:cs="Times New Roman"/>
          <w:b/>
          <w:sz w:val="24"/>
          <w:szCs w:val="24"/>
        </w:rPr>
        <w:t>Under Adaptation:</w:t>
      </w:r>
    </w:p>
    <w:p w:rsidR="00B80101" w:rsidRPr="00432BCF" w:rsidRDefault="00B80101" w:rsidP="00B80101">
      <w:pPr>
        <w:numPr>
          <w:ilvl w:val="0"/>
          <w:numId w:val="2"/>
        </w:numPr>
        <w:spacing w:line="252" w:lineRule="auto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Most vulnerable people and communities</w:t>
      </w:r>
    </w:p>
    <w:p w:rsidR="00B80101" w:rsidRPr="00432BCF" w:rsidRDefault="00B80101" w:rsidP="00B80101">
      <w:pPr>
        <w:spacing w:line="252" w:lineRule="auto"/>
        <w:ind w:left="720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E.g. mitigation of operational risk associated with climate change – diversification of supply sources and supply chain management, relocation of manufacturing facilities and warehouses, etc.</w:t>
      </w:r>
    </w:p>
    <w:p w:rsidR="00B80101" w:rsidRPr="00432BCF" w:rsidRDefault="00B80101" w:rsidP="00B80101">
      <w:pPr>
        <w:numPr>
          <w:ilvl w:val="0"/>
          <w:numId w:val="2"/>
        </w:numPr>
        <w:spacing w:line="252" w:lineRule="auto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Health and well-being, and food and water security</w:t>
      </w:r>
    </w:p>
    <w:p w:rsidR="00B80101" w:rsidRPr="00432BCF" w:rsidRDefault="00B80101" w:rsidP="00B80101">
      <w:pPr>
        <w:spacing w:line="252" w:lineRule="auto"/>
        <w:ind w:left="720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E.g. climate-resilient crops, efficient irrigation systems, etc.</w:t>
      </w:r>
    </w:p>
    <w:p w:rsidR="00B80101" w:rsidRPr="00432BCF" w:rsidRDefault="00B80101" w:rsidP="00B80101">
      <w:pPr>
        <w:numPr>
          <w:ilvl w:val="0"/>
          <w:numId w:val="2"/>
        </w:numPr>
        <w:spacing w:line="252" w:lineRule="auto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Infrastructure and built environment</w:t>
      </w:r>
    </w:p>
    <w:p w:rsidR="00B80101" w:rsidRPr="00432BCF" w:rsidRDefault="00B80101" w:rsidP="00B80101">
      <w:pPr>
        <w:spacing w:line="252" w:lineRule="auto"/>
        <w:ind w:left="720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E.g. sea walls, resilient road networks, etc.</w:t>
      </w:r>
    </w:p>
    <w:p w:rsidR="00B80101" w:rsidRPr="00432BCF" w:rsidRDefault="00B80101" w:rsidP="00B80101">
      <w:pPr>
        <w:numPr>
          <w:ilvl w:val="0"/>
          <w:numId w:val="2"/>
        </w:numPr>
        <w:spacing w:line="252" w:lineRule="auto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Ecosystems and ecosystem services</w:t>
      </w:r>
    </w:p>
    <w:p w:rsidR="00B80101" w:rsidRDefault="00B80101" w:rsidP="00B80101">
      <w:pPr>
        <w:spacing w:line="252" w:lineRule="auto"/>
        <w:ind w:left="720"/>
        <w:contextualSpacing/>
        <w:rPr>
          <w:rFonts w:ascii="Rockwell" w:eastAsia="Times New Roman" w:hAnsi="Rockwell" w:cs="Times New Roman"/>
          <w:sz w:val="24"/>
          <w:szCs w:val="24"/>
        </w:rPr>
      </w:pPr>
      <w:r w:rsidRPr="00432BCF">
        <w:rPr>
          <w:rFonts w:ascii="Rockwell" w:eastAsia="Times New Roman" w:hAnsi="Rockwell" w:cs="Times New Roman"/>
          <w:sz w:val="24"/>
          <w:szCs w:val="24"/>
        </w:rPr>
        <w:t>E.g. ecosystem conservation and management, ecotourism, etc.</w:t>
      </w:r>
    </w:p>
    <w:p w:rsidR="004E7D7D" w:rsidRDefault="00B80101">
      <w:r w:rsidRPr="00432BCF">
        <w:rPr>
          <w:rFonts w:ascii="Rockwell" w:hAnsi="Rockwell"/>
          <w:noProof/>
          <w:sz w:val="24"/>
          <w:szCs w:val="24"/>
        </w:rPr>
        <w:lastRenderedPageBreak/>
        <w:drawing>
          <wp:inline distT="0" distB="0" distL="0" distR="0" wp14:anchorId="2A891A44" wp14:editId="68C17738">
            <wp:extent cx="4827497" cy="435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13" cy="435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823"/>
    <w:multiLevelType w:val="hybridMultilevel"/>
    <w:tmpl w:val="D5CA3830"/>
    <w:lvl w:ilvl="0" w:tplc="85EAE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08BD"/>
    <w:multiLevelType w:val="hybridMultilevel"/>
    <w:tmpl w:val="1B002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01"/>
    <w:rsid w:val="004E7D7D"/>
    <w:rsid w:val="00887520"/>
    <w:rsid w:val="00B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Sarah K. Muthoni</cp:lastModifiedBy>
  <cp:revision>2</cp:revision>
  <dcterms:created xsi:type="dcterms:W3CDTF">2016-08-30T11:58:00Z</dcterms:created>
  <dcterms:modified xsi:type="dcterms:W3CDTF">2016-08-30T11:58:00Z</dcterms:modified>
</cp:coreProperties>
</file>