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101" w:rsidRPr="00432BCF" w:rsidRDefault="00B80101" w:rsidP="00B80101">
      <w:pPr>
        <w:spacing w:line="252" w:lineRule="auto"/>
        <w:contextualSpacing/>
        <w:rPr>
          <w:rFonts w:ascii="Rockwell" w:eastAsia="Times New Roman" w:hAnsi="Rockwell" w:cs="Times New Roman"/>
          <w:b/>
          <w:sz w:val="24"/>
          <w:szCs w:val="24"/>
        </w:rPr>
      </w:pPr>
      <w:bookmarkStart w:id="0" w:name="_GoBack"/>
      <w:bookmarkEnd w:id="0"/>
      <w:r w:rsidRPr="00432BCF">
        <w:rPr>
          <w:rFonts w:ascii="Rockwell" w:eastAsia="Times New Roman" w:hAnsi="Rockwell" w:cs="Times New Roman"/>
          <w:b/>
          <w:sz w:val="24"/>
          <w:szCs w:val="24"/>
        </w:rPr>
        <w:t>GREEN CLIMATE FUND’S RESULT AREAS</w:t>
      </w:r>
    </w:p>
    <w:p w:rsidR="00B80101" w:rsidRPr="00432BCF" w:rsidRDefault="00B80101" w:rsidP="00B80101">
      <w:pPr>
        <w:spacing w:line="252" w:lineRule="auto"/>
        <w:ind w:left="720"/>
        <w:contextualSpacing/>
        <w:rPr>
          <w:rFonts w:ascii="Rockwell" w:eastAsia="Times New Roman" w:hAnsi="Rockwell" w:cs="Times New Roman"/>
          <w:sz w:val="24"/>
          <w:szCs w:val="24"/>
        </w:rPr>
      </w:pPr>
    </w:p>
    <w:p w:rsidR="00B80101" w:rsidRPr="00432BCF" w:rsidRDefault="00B80101" w:rsidP="00B80101">
      <w:pPr>
        <w:spacing w:after="0" w:line="240" w:lineRule="auto"/>
        <w:jc w:val="both"/>
        <w:rPr>
          <w:rFonts w:ascii="Rockwell" w:eastAsia="Times New Roman" w:hAnsi="Rockwell" w:cs="Arial"/>
          <w:sz w:val="24"/>
          <w:szCs w:val="24"/>
        </w:rPr>
      </w:pPr>
      <w:r w:rsidRPr="00432BCF">
        <w:rPr>
          <w:rFonts w:ascii="Rockwell" w:eastAsia="Times New Roman" w:hAnsi="Rockwell" w:cs="Arial"/>
          <w:sz w:val="24"/>
          <w:szCs w:val="24"/>
        </w:rPr>
        <w:t xml:space="preserve">GCF has eight results areas that have been targeted because of their potential to deliver a substantial impact on mitigation and adaptation. The eight results areas cover both mitigation and adaptation and provide the reference points that will guide the Fund and its stakeholders to ensure a strategic approach when developing  </w:t>
      </w:r>
      <w:proofErr w:type="spellStart"/>
      <w:r w:rsidRPr="00432BCF">
        <w:rPr>
          <w:rFonts w:ascii="Rockwell" w:eastAsia="Times New Roman" w:hAnsi="Rockwell" w:cs="Arial"/>
          <w:sz w:val="24"/>
          <w:szCs w:val="24"/>
        </w:rPr>
        <w:t>programmes</w:t>
      </w:r>
      <w:proofErr w:type="spellEnd"/>
      <w:r w:rsidRPr="00432BCF">
        <w:rPr>
          <w:rFonts w:ascii="Rockwell" w:eastAsia="Times New Roman" w:hAnsi="Rockwell" w:cs="Arial"/>
          <w:sz w:val="24"/>
          <w:szCs w:val="24"/>
        </w:rPr>
        <w:t xml:space="preserve"> and projects, while respecting the needs and priorities of individual countries. These are </w:t>
      </w:r>
    </w:p>
    <w:p w:rsidR="00B80101" w:rsidRPr="00432BCF" w:rsidRDefault="00B80101" w:rsidP="00B80101">
      <w:pPr>
        <w:spacing w:after="0" w:line="240" w:lineRule="auto"/>
        <w:jc w:val="both"/>
        <w:rPr>
          <w:rFonts w:ascii="Rockwell" w:eastAsia="Times New Roman" w:hAnsi="Rockwell" w:cs="Arial"/>
          <w:sz w:val="24"/>
          <w:szCs w:val="24"/>
        </w:rPr>
      </w:pPr>
    </w:p>
    <w:p w:rsidR="00B80101" w:rsidRPr="00826382" w:rsidRDefault="00B80101" w:rsidP="00B80101">
      <w:pPr>
        <w:spacing w:line="252" w:lineRule="auto"/>
        <w:rPr>
          <w:rFonts w:ascii="Rockwell" w:eastAsia="Times New Roman" w:hAnsi="Rockwell" w:cs="Times New Roman"/>
          <w:b/>
          <w:sz w:val="24"/>
          <w:szCs w:val="24"/>
        </w:rPr>
      </w:pPr>
      <w:r w:rsidRPr="00826382">
        <w:rPr>
          <w:rFonts w:ascii="Rockwell" w:eastAsia="Times New Roman" w:hAnsi="Rockwell" w:cs="Times New Roman"/>
          <w:b/>
          <w:sz w:val="24"/>
          <w:szCs w:val="24"/>
        </w:rPr>
        <w:t>Under Mitigation;</w:t>
      </w:r>
    </w:p>
    <w:p w:rsidR="00B80101" w:rsidRPr="00432BCF" w:rsidRDefault="00B80101" w:rsidP="00B80101">
      <w:pPr>
        <w:numPr>
          <w:ilvl w:val="0"/>
          <w:numId w:val="1"/>
        </w:numPr>
        <w:spacing w:line="252" w:lineRule="auto"/>
        <w:contextualSpacing/>
        <w:rPr>
          <w:rFonts w:ascii="Rockwell" w:eastAsia="Times New Roman" w:hAnsi="Rockwell" w:cs="Times New Roman"/>
          <w:sz w:val="24"/>
          <w:szCs w:val="24"/>
        </w:rPr>
      </w:pPr>
      <w:r w:rsidRPr="00432BCF">
        <w:rPr>
          <w:rFonts w:ascii="Rockwell" w:eastAsia="Times New Roman" w:hAnsi="Rockwell" w:cs="Times New Roman"/>
          <w:sz w:val="24"/>
          <w:szCs w:val="24"/>
        </w:rPr>
        <w:t>Energy access and power generation</w:t>
      </w:r>
    </w:p>
    <w:p w:rsidR="00B80101" w:rsidRPr="00432BCF" w:rsidRDefault="00B80101" w:rsidP="00B80101">
      <w:pPr>
        <w:spacing w:line="252" w:lineRule="auto"/>
        <w:ind w:left="720"/>
        <w:contextualSpacing/>
        <w:rPr>
          <w:rFonts w:ascii="Rockwell" w:eastAsia="Times New Roman" w:hAnsi="Rockwell" w:cs="Times New Roman"/>
          <w:sz w:val="24"/>
          <w:szCs w:val="24"/>
        </w:rPr>
      </w:pPr>
      <w:r w:rsidRPr="00432BCF">
        <w:rPr>
          <w:rFonts w:ascii="Rockwell" w:eastAsia="Times New Roman" w:hAnsi="Rockwell" w:cs="Times New Roman"/>
          <w:sz w:val="24"/>
          <w:szCs w:val="24"/>
        </w:rPr>
        <w:t xml:space="preserve">E.g. on-grid, micro-grid or off-grid solar, wind, geothermal.  </w:t>
      </w:r>
    </w:p>
    <w:p w:rsidR="00B80101" w:rsidRPr="00432BCF" w:rsidRDefault="00B80101" w:rsidP="00B80101">
      <w:pPr>
        <w:numPr>
          <w:ilvl w:val="0"/>
          <w:numId w:val="1"/>
        </w:numPr>
        <w:spacing w:line="252" w:lineRule="auto"/>
        <w:contextualSpacing/>
        <w:rPr>
          <w:rFonts w:ascii="Rockwell" w:eastAsia="Times New Roman" w:hAnsi="Rockwell" w:cs="Times New Roman"/>
          <w:sz w:val="24"/>
          <w:szCs w:val="24"/>
        </w:rPr>
      </w:pPr>
      <w:r w:rsidRPr="00432BCF">
        <w:rPr>
          <w:rFonts w:ascii="Rockwell" w:eastAsia="Times New Roman" w:hAnsi="Rockwell" w:cs="Times New Roman"/>
          <w:sz w:val="24"/>
          <w:szCs w:val="24"/>
        </w:rPr>
        <w:t>Low emission transport</w:t>
      </w:r>
    </w:p>
    <w:p w:rsidR="00B80101" w:rsidRPr="00432BCF" w:rsidRDefault="00B80101" w:rsidP="00B80101">
      <w:pPr>
        <w:spacing w:line="252" w:lineRule="auto"/>
        <w:ind w:left="720"/>
        <w:contextualSpacing/>
        <w:rPr>
          <w:rFonts w:ascii="Rockwell" w:eastAsia="Times New Roman" w:hAnsi="Rockwell" w:cs="Times New Roman"/>
          <w:sz w:val="24"/>
          <w:szCs w:val="24"/>
        </w:rPr>
      </w:pPr>
      <w:r w:rsidRPr="00432BCF">
        <w:rPr>
          <w:rFonts w:ascii="Rockwell" w:eastAsia="Times New Roman" w:hAnsi="Rockwell" w:cs="Times New Roman"/>
          <w:sz w:val="24"/>
          <w:szCs w:val="24"/>
        </w:rPr>
        <w:t>E.g. high-speed rail, rapid bus system, etc.</w:t>
      </w:r>
    </w:p>
    <w:p w:rsidR="00B80101" w:rsidRPr="00432BCF" w:rsidRDefault="00B80101" w:rsidP="00B80101">
      <w:pPr>
        <w:numPr>
          <w:ilvl w:val="0"/>
          <w:numId w:val="1"/>
        </w:numPr>
        <w:spacing w:line="252" w:lineRule="auto"/>
        <w:contextualSpacing/>
        <w:rPr>
          <w:rFonts w:ascii="Rockwell" w:eastAsia="Times New Roman" w:hAnsi="Rockwell" w:cs="Times New Roman"/>
          <w:sz w:val="24"/>
          <w:szCs w:val="24"/>
        </w:rPr>
      </w:pPr>
      <w:r w:rsidRPr="00432BCF">
        <w:rPr>
          <w:rFonts w:ascii="Rockwell" w:eastAsia="Times New Roman" w:hAnsi="Rockwell" w:cs="Times New Roman"/>
          <w:sz w:val="24"/>
          <w:szCs w:val="24"/>
        </w:rPr>
        <w:t>Buildings, cities, industries and appliances</w:t>
      </w:r>
    </w:p>
    <w:p w:rsidR="00B80101" w:rsidRPr="00432BCF" w:rsidRDefault="00B80101" w:rsidP="00B80101">
      <w:pPr>
        <w:spacing w:line="252" w:lineRule="auto"/>
        <w:ind w:left="720"/>
        <w:contextualSpacing/>
        <w:rPr>
          <w:rFonts w:ascii="Rockwell" w:eastAsia="Times New Roman" w:hAnsi="Rockwell" w:cs="Times New Roman"/>
          <w:sz w:val="24"/>
          <w:szCs w:val="24"/>
        </w:rPr>
      </w:pPr>
      <w:r w:rsidRPr="00432BCF">
        <w:rPr>
          <w:rFonts w:ascii="Rockwell" w:eastAsia="Times New Roman" w:hAnsi="Rockwell" w:cs="Times New Roman"/>
          <w:sz w:val="24"/>
          <w:szCs w:val="24"/>
        </w:rPr>
        <w:t>E.g. new and retrofitted energy-efficient buildings, energy-efficient equipment for companies and supply chain management, etc.</w:t>
      </w:r>
    </w:p>
    <w:p w:rsidR="00B80101" w:rsidRPr="00432BCF" w:rsidRDefault="00B80101" w:rsidP="00B80101">
      <w:pPr>
        <w:numPr>
          <w:ilvl w:val="0"/>
          <w:numId w:val="1"/>
        </w:numPr>
        <w:spacing w:line="252" w:lineRule="auto"/>
        <w:contextualSpacing/>
        <w:rPr>
          <w:rFonts w:ascii="Rockwell" w:eastAsia="Times New Roman" w:hAnsi="Rockwell" w:cs="Times New Roman"/>
          <w:sz w:val="24"/>
          <w:szCs w:val="24"/>
        </w:rPr>
      </w:pPr>
      <w:r w:rsidRPr="00432BCF">
        <w:rPr>
          <w:rFonts w:ascii="Rockwell" w:eastAsia="Times New Roman" w:hAnsi="Rockwell" w:cs="Times New Roman"/>
          <w:sz w:val="24"/>
          <w:szCs w:val="24"/>
        </w:rPr>
        <w:t>Forestry and land use</w:t>
      </w:r>
    </w:p>
    <w:p w:rsidR="00B80101" w:rsidRPr="00432BCF" w:rsidRDefault="00B80101" w:rsidP="00B80101">
      <w:pPr>
        <w:spacing w:line="252" w:lineRule="auto"/>
        <w:ind w:left="720"/>
        <w:contextualSpacing/>
        <w:rPr>
          <w:rFonts w:ascii="Rockwell" w:eastAsia="Times New Roman" w:hAnsi="Rockwell" w:cs="Times New Roman"/>
          <w:sz w:val="24"/>
          <w:szCs w:val="24"/>
        </w:rPr>
      </w:pPr>
      <w:r w:rsidRPr="00432BCF">
        <w:rPr>
          <w:rFonts w:ascii="Rockwell" w:eastAsia="Times New Roman" w:hAnsi="Rockwell" w:cs="Times New Roman"/>
          <w:sz w:val="24"/>
          <w:szCs w:val="24"/>
        </w:rPr>
        <w:t>E.g. forest conservation and management, agroforestry, agricultural irrigation, water treatment and       management, etc.</w:t>
      </w:r>
    </w:p>
    <w:p w:rsidR="00B80101" w:rsidRPr="00432BCF" w:rsidRDefault="00B80101" w:rsidP="00B80101">
      <w:pPr>
        <w:spacing w:line="252" w:lineRule="auto"/>
        <w:ind w:left="720"/>
        <w:contextualSpacing/>
        <w:rPr>
          <w:rFonts w:ascii="Rockwell" w:eastAsia="Times New Roman" w:hAnsi="Rockwell" w:cs="Times New Roman"/>
          <w:sz w:val="24"/>
          <w:szCs w:val="24"/>
        </w:rPr>
      </w:pPr>
    </w:p>
    <w:p w:rsidR="00B80101" w:rsidRPr="00432BCF" w:rsidRDefault="00B80101" w:rsidP="00B80101">
      <w:pPr>
        <w:spacing w:line="252" w:lineRule="auto"/>
        <w:rPr>
          <w:rFonts w:ascii="Rockwell" w:eastAsia="Times New Roman" w:hAnsi="Rockwell" w:cs="Times New Roman"/>
          <w:b/>
          <w:sz w:val="24"/>
          <w:szCs w:val="24"/>
        </w:rPr>
      </w:pPr>
      <w:r w:rsidRPr="00432BCF">
        <w:rPr>
          <w:rFonts w:ascii="Rockwell" w:eastAsia="Times New Roman" w:hAnsi="Rockwell" w:cs="Times New Roman"/>
          <w:b/>
          <w:sz w:val="24"/>
          <w:szCs w:val="24"/>
        </w:rPr>
        <w:t>Under Adaptation:</w:t>
      </w:r>
    </w:p>
    <w:p w:rsidR="00B80101" w:rsidRPr="00432BCF" w:rsidRDefault="00B80101" w:rsidP="00B80101">
      <w:pPr>
        <w:numPr>
          <w:ilvl w:val="0"/>
          <w:numId w:val="2"/>
        </w:numPr>
        <w:spacing w:line="252" w:lineRule="auto"/>
        <w:contextualSpacing/>
        <w:rPr>
          <w:rFonts w:ascii="Rockwell" w:eastAsia="Times New Roman" w:hAnsi="Rockwell" w:cs="Times New Roman"/>
          <w:sz w:val="24"/>
          <w:szCs w:val="24"/>
        </w:rPr>
      </w:pPr>
      <w:r w:rsidRPr="00432BCF">
        <w:rPr>
          <w:rFonts w:ascii="Rockwell" w:eastAsia="Times New Roman" w:hAnsi="Rockwell" w:cs="Times New Roman"/>
          <w:sz w:val="24"/>
          <w:szCs w:val="24"/>
        </w:rPr>
        <w:t>Most vulnerable people and communities</w:t>
      </w:r>
    </w:p>
    <w:p w:rsidR="00B80101" w:rsidRPr="00432BCF" w:rsidRDefault="00B80101" w:rsidP="00B80101">
      <w:pPr>
        <w:spacing w:line="252" w:lineRule="auto"/>
        <w:ind w:left="720"/>
        <w:contextualSpacing/>
        <w:rPr>
          <w:rFonts w:ascii="Rockwell" w:eastAsia="Times New Roman" w:hAnsi="Rockwell" w:cs="Times New Roman"/>
          <w:sz w:val="24"/>
          <w:szCs w:val="24"/>
        </w:rPr>
      </w:pPr>
      <w:r w:rsidRPr="00432BCF">
        <w:rPr>
          <w:rFonts w:ascii="Rockwell" w:eastAsia="Times New Roman" w:hAnsi="Rockwell" w:cs="Times New Roman"/>
          <w:sz w:val="24"/>
          <w:szCs w:val="24"/>
        </w:rPr>
        <w:t>E.g. mitigation of operational risk associated with climate change – diversification of supply sources and supply chain management, relocation of manufacturing facilities and warehouses, etc.</w:t>
      </w:r>
    </w:p>
    <w:p w:rsidR="00B80101" w:rsidRPr="00432BCF" w:rsidRDefault="00B80101" w:rsidP="00B80101">
      <w:pPr>
        <w:numPr>
          <w:ilvl w:val="0"/>
          <w:numId w:val="2"/>
        </w:numPr>
        <w:spacing w:line="252" w:lineRule="auto"/>
        <w:contextualSpacing/>
        <w:rPr>
          <w:rFonts w:ascii="Rockwell" w:eastAsia="Times New Roman" w:hAnsi="Rockwell" w:cs="Times New Roman"/>
          <w:sz w:val="24"/>
          <w:szCs w:val="24"/>
        </w:rPr>
      </w:pPr>
      <w:r w:rsidRPr="00432BCF">
        <w:rPr>
          <w:rFonts w:ascii="Rockwell" w:eastAsia="Times New Roman" w:hAnsi="Rockwell" w:cs="Times New Roman"/>
          <w:sz w:val="24"/>
          <w:szCs w:val="24"/>
        </w:rPr>
        <w:t>Health and well-being, and food and water security</w:t>
      </w:r>
    </w:p>
    <w:p w:rsidR="00B80101" w:rsidRPr="00432BCF" w:rsidRDefault="00B80101" w:rsidP="00B80101">
      <w:pPr>
        <w:spacing w:line="252" w:lineRule="auto"/>
        <w:ind w:left="720"/>
        <w:contextualSpacing/>
        <w:rPr>
          <w:rFonts w:ascii="Rockwell" w:eastAsia="Times New Roman" w:hAnsi="Rockwell" w:cs="Times New Roman"/>
          <w:sz w:val="24"/>
          <w:szCs w:val="24"/>
        </w:rPr>
      </w:pPr>
      <w:r w:rsidRPr="00432BCF">
        <w:rPr>
          <w:rFonts w:ascii="Rockwell" w:eastAsia="Times New Roman" w:hAnsi="Rockwell" w:cs="Times New Roman"/>
          <w:sz w:val="24"/>
          <w:szCs w:val="24"/>
        </w:rPr>
        <w:t>E.g. climate-resilient crops, efficient irrigation systems, etc.</w:t>
      </w:r>
    </w:p>
    <w:p w:rsidR="00B80101" w:rsidRPr="00432BCF" w:rsidRDefault="00B80101" w:rsidP="00B80101">
      <w:pPr>
        <w:numPr>
          <w:ilvl w:val="0"/>
          <w:numId w:val="2"/>
        </w:numPr>
        <w:spacing w:line="252" w:lineRule="auto"/>
        <w:contextualSpacing/>
        <w:rPr>
          <w:rFonts w:ascii="Rockwell" w:eastAsia="Times New Roman" w:hAnsi="Rockwell" w:cs="Times New Roman"/>
          <w:sz w:val="24"/>
          <w:szCs w:val="24"/>
        </w:rPr>
      </w:pPr>
      <w:r w:rsidRPr="00432BCF">
        <w:rPr>
          <w:rFonts w:ascii="Rockwell" w:eastAsia="Times New Roman" w:hAnsi="Rockwell" w:cs="Times New Roman"/>
          <w:sz w:val="24"/>
          <w:szCs w:val="24"/>
        </w:rPr>
        <w:t>Infrastructure and built environment</w:t>
      </w:r>
    </w:p>
    <w:p w:rsidR="00B80101" w:rsidRPr="00432BCF" w:rsidRDefault="00B80101" w:rsidP="00B80101">
      <w:pPr>
        <w:spacing w:line="252" w:lineRule="auto"/>
        <w:ind w:left="720"/>
        <w:contextualSpacing/>
        <w:rPr>
          <w:rFonts w:ascii="Rockwell" w:eastAsia="Times New Roman" w:hAnsi="Rockwell" w:cs="Times New Roman"/>
          <w:sz w:val="24"/>
          <w:szCs w:val="24"/>
        </w:rPr>
      </w:pPr>
      <w:r w:rsidRPr="00432BCF">
        <w:rPr>
          <w:rFonts w:ascii="Rockwell" w:eastAsia="Times New Roman" w:hAnsi="Rockwell" w:cs="Times New Roman"/>
          <w:sz w:val="24"/>
          <w:szCs w:val="24"/>
        </w:rPr>
        <w:t>E.g. sea walls, resilient road networks, etc.</w:t>
      </w:r>
    </w:p>
    <w:p w:rsidR="00B80101" w:rsidRPr="00432BCF" w:rsidRDefault="00B80101" w:rsidP="00B80101">
      <w:pPr>
        <w:numPr>
          <w:ilvl w:val="0"/>
          <w:numId w:val="2"/>
        </w:numPr>
        <w:spacing w:line="252" w:lineRule="auto"/>
        <w:contextualSpacing/>
        <w:rPr>
          <w:rFonts w:ascii="Rockwell" w:eastAsia="Times New Roman" w:hAnsi="Rockwell" w:cs="Times New Roman"/>
          <w:sz w:val="24"/>
          <w:szCs w:val="24"/>
        </w:rPr>
      </w:pPr>
      <w:r w:rsidRPr="00432BCF">
        <w:rPr>
          <w:rFonts w:ascii="Rockwell" w:eastAsia="Times New Roman" w:hAnsi="Rockwell" w:cs="Times New Roman"/>
          <w:sz w:val="24"/>
          <w:szCs w:val="24"/>
        </w:rPr>
        <w:t>Ecosystems and ecosystem services</w:t>
      </w:r>
    </w:p>
    <w:p w:rsidR="00B80101" w:rsidRDefault="00B80101" w:rsidP="00B80101">
      <w:pPr>
        <w:spacing w:line="252" w:lineRule="auto"/>
        <w:ind w:left="720"/>
        <w:contextualSpacing/>
        <w:rPr>
          <w:rFonts w:ascii="Rockwell" w:eastAsia="Times New Roman" w:hAnsi="Rockwell" w:cs="Times New Roman"/>
          <w:sz w:val="24"/>
          <w:szCs w:val="24"/>
        </w:rPr>
      </w:pPr>
      <w:r w:rsidRPr="00432BCF">
        <w:rPr>
          <w:rFonts w:ascii="Rockwell" w:eastAsia="Times New Roman" w:hAnsi="Rockwell" w:cs="Times New Roman"/>
          <w:sz w:val="24"/>
          <w:szCs w:val="24"/>
        </w:rPr>
        <w:t>E.g. ecosystem conservation and management, ecotourism, etc.</w:t>
      </w:r>
    </w:p>
    <w:p w:rsidR="004E7D7D" w:rsidRDefault="00B80101">
      <w:r w:rsidRPr="00432BCF">
        <w:rPr>
          <w:rFonts w:ascii="Rockwell" w:hAnsi="Rockwell"/>
          <w:noProof/>
          <w:sz w:val="24"/>
          <w:szCs w:val="24"/>
        </w:rPr>
        <w:lastRenderedPageBreak/>
        <w:drawing>
          <wp:inline distT="0" distB="0" distL="0" distR="0" wp14:anchorId="2A891A44" wp14:editId="68C17738">
            <wp:extent cx="4827497" cy="43529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8713" cy="4354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E7D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F3823"/>
    <w:multiLevelType w:val="hybridMultilevel"/>
    <w:tmpl w:val="D5CA3830"/>
    <w:lvl w:ilvl="0" w:tplc="85EAE5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4A08BD"/>
    <w:multiLevelType w:val="hybridMultilevel"/>
    <w:tmpl w:val="1B002E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101"/>
    <w:rsid w:val="004E7D7D"/>
    <w:rsid w:val="00887520"/>
    <w:rsid w:val="00B80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010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010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226</Words>
  <Characters>1291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</dc:creator>
  <cp:lastModifiedBy>Sarah K. Muthoni</cp:lastModifiedBy>
  <cp:revision>2</cp:revision>
  <dcterms:created xsi:type="dcterms:W3CDTF">2016-08-30T11:58:00Z</dcterms:created>
  <dcterms:modified xsi:type="dcterms:W3CDTF">2016-08-30T11:58:00Z</dcterms:modified>
</cp:coreProperties>
</file>