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F15" w:rsidRPr="004078A1" w:rsidRDefault="00DE1F15" w:rsidP="00AD05C5">
      <w:pPr>
        <w:autoSpaceDE w:val="0"/>
        <w:autoSpaceDN w:val="0"/>
        <w:adjustRightInd w:val="0"/>
        <w:spacing w:line="276" w:lineRule="auto"/>
        <w:ind w:left="27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NEMA reigns </w:t>
      </w:r>
      <w:r w:rsidR="00B63313">
        <w:rPr>
          <w:rFonts w:ascii="Bookman Old Style" w:hAnsi="Bookman Old Style" w:cs="Arial"/>
        </w:rPr>
        <w:t xml:space="preserve">on companies polluting </w:t>
      </w:r>
      <w:r w:rsidR="00475B71">
        <w:rPr>
          <w:rFonts w:ascii="Bookman Old Style" w:hAnsi="Bookman Old Style" w:cs="Arial"/>
        </w:rPr>
        <w:t xml:space="preserve">Kenyan </w:t>
      </w:r>
      <w:r w:rsidR="00B63313">
        <w:rPr>
          <w:rFonts w:ascii="Bookman Old Style" w:hAnsi="Bookman Old Style" w:cs="Arial"/>
        </w:rPr>
        <w:t>rivers</w:t>
      </w:r>
    </w:p>
    <w:p w:rsidR="00DE1F15" w:rsidRPr="004078A1" w:rsidRDefault="00DE1F15" w:rsidP="00D9141D">
      <w:pPr>
        <w:autoSpaceDE w:val="0"/>
        <w:autoSpaceDN w:val="0"/>
        <w:adjustRightInd w:val="0"/>
        <w:spacing w:line="276" w:lineRule="auto"/>
        <w:ind w:left="270"/>
        <w:jc w:val="both"/>
        <w:rPr>
          <w:rFonts w:ascii="Bookman Old Style" w:hAnsi="Bookman Old Style" w:cs="Arial"/>
        </w:rPr>
      </w:pPr>
    </w:p>
    <w:p w:rsidR="00D74AFB" w:rsidRDefault="00D83832" w:rsidP="00475B71">
      <w:pPr>
        <w:spacing w:line="276" w:lineRule="auto"/>
        <w:ind w:left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240F37">
        <w:rPr>
          <w:rFonts w:ascii="Bookman Old Style" w:hAnsi="Bookman Old Style"/>
        </w:rPr>
        <w:t xml:space="preserve">enyan urban rivers have for a long time suffered </w:t>
      </w:r>
      <w:r w:rsidR="00DE1F15" w:rsidRPr="004078A1">
        <w:rPr>
          <w:rFonts w:ascii="Bookman Old Style" w:hAnsi="Bookman Old Style"/>
        </w:rPr>
        <w:t>from</w:t>
      </w:r>
      <w:r w:rsidR="007C6ABD">
        <w:rPr>
          <w:rFonts w:ascii="Bookman Old Style" w:hAnsi="Bookman Old Style"/>
        </w:rPr>
        <w:t xml:space="preserve"> pollution especially </w:t>
      </w:r>
      <w:r w:rsidR="00D74AFB">
        <w:rPr>
          <w:rFonts w:ascii="Bookman Old Style" w:hAnsi="Bookman Old Style"/>
        </w:rPr>
        <w:t xml:space="preserve">from littered solid waste. </w:t>
      </w:r>
      <w:r w:rsidR="004877E7">
        <w:rPr>
          <w:rFonts w:ascii="Bookman Old Style" w:hAnsi="Bookman Old Style"/>
        </w:rPr>
        <w:t xml:space="preserve">The main reason for this was due to inadequate legislation for waste </w:t>
      </w:r>
      <w:r w:rsidR="00011159">
        <w:rPr>
          <w:rFonts w:ascii="Bookman Old Style" w:hAnsi="Bookman Old Style"/>
        </w:rPr>
        <w:t xml:space="preserve">management at post consumer level. But this space has changed after </w:t>
      </w:r>
      <w:r w:rsidR="009F5B73">
        <w:rPr>
          <w:rFonts w:ascii="Bookman Old Style" w:hAnsi="Bookman Old Style"/>
        </w:rPr>
        <w:t xml:space="preserve">inclusion of Section 13 </w:t>
      </w:r>
      <w:r w:rsidR="00EA6D91">
        <w:rPr>
          <w:rFonts w:ascii="Bookman Old Style" w:hAnsi="Bookman Old Style"/>
        </w:rPr>
        <w:t xml:space="preserve">in the </w:t>
      </w:r>
      <w:r w:rsidR="009D14FC">
        <w:rPr>
          <w:rFonts w:ascii="Bookman Old Style" w:hAnsi="Bookman Old Style"/>
        </w:rPr>
        <w:t xml:space="preserve">Sustainable </w:t>
      </w:r>
      <w:r w:rsidR="00B52DC8">
        <w:rPr>
          <w:rFonts w:ascii="Bookman Old Style" w:hAnsi="Bookman Old Style"/>
        </w:rPr>
        <w:t>W</w:t>
      </w:r>
      <w:r w:rsidR="009D14FC">
        <w:rPr>
          <w:rFonts w:ascii="Bookman Old Style" w:hAnsi="Bookman Old Style"/>
        </w:rPr>
        <w:t xml:space="preserve">aste </w:t>
      </w:r>
      <w:r w:rsidR="00B52DC8">
        <w:rPr>
          <w:rFonts w:ascii="Bookman Old Style" w:hAnsi="Bookman Old Style"/>
        </w:rPr>
        <w:t>M</w:t>
      </w:r>
      <w:r w:rsidR="009D14FC">
        <w:rPr>
          <w:rFonts w:ascii="Bookman Old Style" w:hAnsi="Bookman Old Style"/>
        </w:rPr>
        <w:t xml:space="preserve">anagement Act 2022 that </w:t>
      </w:r>
      <w:r w:rsidR="00A62C5B">
        <w:rPr>
          <w:rFonts w:ascii="Bookman Old Style" w:hAnsi="Bookman Old Style"/>
        </w:rPr>
        <w:t>introduced mandatory Extended Producer Responsibility (</w:t>
      </w:r>
      <w:r w:rsidR="00EA6D91">
        <w:rPr>
          <w:rFonts w:ascii="Bookman Old Style" w:hAnsi="Bookman Old Style"/>
        </w:rPr>
        <w:t xml:space="preserve">EPR) for all products in Kenya. </w:t>
      </w:r>
    </w:p>
    <w:p w:rsidR="00DE1F15" w:rsidRPr="00475B71" w:rsidRDefault="00DE1F15" w:rsidP="00475B71">
      <w:pPr>
        <w:spacing w:line="276" w:lineRule="auto"/>
        <w:ind w:left="270"/>
        <w:jc w:val="both"/>
        <w:rPr>
          <w:rFonts w:ascii="Bookman Old Style" w:hAnsi="Bookman Old Style"/>
        </w:rPr>
      </w:pPr>
      <w:r w:rsidRPr="004078A1">
        <w:rPr>
          <w:rFonts w:ascii="Bookman Old Style" w:hAnsi="Bookman Old Style"/>
        </w:rPr>
        <w:t>The National Environment Management Authority (NEMA) carried out inspections at various points within the Nairobi River catchment on 1</w:t>
      </w:r>
      <w:r>
        <w:rPr>
          <w:rFonts w:ascii="Bookman Old Style" w:hAnsi="Bookman Old Style"/>
        </w:rPr>
        <w:t>8</w:t>
      </w:r>
      <w:r w:rsidRPr="004078A1">
        <w:rPr>
          <w:rFonts w:ascii="Bookman Old Style" w:hAnsi="Bookman Old Style"/>
          <w:vertAlign w:val="superscript"/>
        </w:rPr>
        <w:t>th</w:t>
      </w:r>
      <w:r w:rsidRPr="004078A1">
        <w:rPr>
          <w:rFonts w:ascii="Bookman Old Style" w:hAnsi="Bookman Old Style"/>
        </w:rPr>
        <w:t xml:space="preserve"> January 202</w:t>
      </w:r>
      <w:r>
        <w:rPr>
          <w:rFonts w:ascii="Bookman Old Style" w:hAnsi="Bookman Old Style"/>
        </w:rPr>
        <w:t>4</w:t>
      </w:r>
      <w:r w:rsidRPr="004078A1">
        <w:rPr>
          <w:rFonts w:ascii="Bookman Old Style" w:hAnsi="Bookman Old Style"/>
        </w:rPr>
        <w:t>. T</w:t>
      </w:r>
      <w:r w:rsidRPr="004078A1">
        <w:rPr>
          <w:rFonts w:ascii="Bookman Old Style" w:hAnsi="Bookman Old Style" w:cs="Arial"/>
        </w:rPr>
        <w:t xml:space="preserve">he inspection team established the following: </w:t>
      </w:r>
    </w:p>
    <w:p w:rsidR="00DE1F15" w:rsidRPr="004078A1" w:rsidRDefault="00DE1F15" w:rsidP="00DE1F15">
      <w:pPr>
        <w:numPr>
          <w:ilvl w:val="0"/>
          <w:numId w:val="2"/>
        </w:numPr>
        <w:spacing w:after="0" w:line="276" w:lineRule="auto"/>
        <w:jc w:val="both"/>
        <w:rPr>
          <w:rFonts w:ascii="Bookman Old Style" w:hAnsi="Bookman Old Style" w:cs="Arial"/>
        </w:rPr>
      </w:pPr>
      <w:r w:rsidRPr="004078A1">
        <w:rPr>
          <w:rFonts w:ascii="Bookman Old Style" w:hAnsi="Bookman Old Style" w:cs="Arial"/>
        </w:rPr>
        <w:t>That there were assorted synthetic wastes,</w:t>
      </w:r>
      <w:r w:rsidRPr="00D508D3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along</w:t>
      </w:r>
      <w:r w:rsidR="00A71D35">
        <w:rPr>
          <w:rFonts w:ascii="Bookman Old Style" w:hAnsi="Bookman Old Style" w:cs="Arial"/>
        </w:rPr>
        <w:t xml:space="preserve"> the river </w:t>
      </w:r>
      <w:r w:rsidRPr="004078A1">
        <w:rPr>
          <w:rFonts w:ascii="Bookman Old Style" w:hAnsi="Bookman Old Style" w:cs="Arial"/>
        </w:rPr>
        <w:t>part of which bore</w:t>
      </w:r>
      <w:r w:rsidR="00593E48">
        <w:rPr>
          <w:rFonts w:ascii="Bookman Old Style" w:hAnsi="Bookman Old Style" w:cs="Arial"/>
        </w:rPr>
        <w:t xml:space="preserve"> the </w:t>
      </w:r>
      <w:r w:rsidRPr="004078A1">
        <w:rPr>
          <w:rFonts w:ascii="Bookman Old Style" w:hAnsi="Bookman Old Style" w:cs="Arial"/>
        </w:rPr>
        <w:t>identity</w:t>
      </w:r>
      <w:r w:rsidR="00593E48">
        <w:rPr>
          <w:rFonts w:ascii="Bookman Old Style" w:hAnsi="Bookman Old Style" w:cs="Arial"/>
        </w:rPr>
        <w:t xml:space="preserve"> of different</w:t>
      </w:r>
      <w:r w:rsidRPr="004078A1">
        <w:rPr>
          <w:rFonts w:ascii="Bookman Old Style" w:hAnsi="Bookman Old Style" w:cs="Arial"/>
        </w:rPr>
        <w:t xml:space="preserve"> producer</w:t>
      </w:r>
      <w:r w:rsidR="003A722F">
        <w:rPr>
          <w:rFonts w:ascii="Bookman Old Style" w:hAnsi="Bookman Old Style" w:cs="Arial"/>
        </w:rPr>
        <w:t>s</w:t>
      </w:r>
      <w:r w:rsidRPr="004078A1">
        <w:rPr>
          <w:rFonts w:ascii="Bookman Old Style" w:hAnsi="Bookman Old Style" w:cs="Arial"/>
        </w:rPr>
        <w:t xml:space="preserve">. </w:t>
      </w:r>
    </w:p>
    <w:p w:rsidR="00DE1F15" w:rsidRPr="004078A1" w:rsidRDefault="00DE1F15" w:rsidP="00DE1F15">
      <w:pPr>
        <w:numPr>
          <w:ilvl w:val="0"/>
          <w:numId w:val="2"/>
        </w:numPr>
        <w:spacing w:after="0" w:line="276" w:lineRule="auto"/>
        <w:ind w:left="990"/>
        <w:jc w:val="both"/>
        <w:rPr>
          <w:rFonts w:ascii="Bookman Old Style" w:hAnsi="Bookman Old Style" w:cs="Arial"/>
        </w:rPr>
      </w:pPr>
      <w:r w:rsidRPr="004078A1">
        <w:rPr>
          <w:rFonts w:ascii="Bookman Old Style" w:hAnsi="Bookman Old Style" w:cs="Arial"/>
        </w:rPr>
        <w:t xml:space="preserve">That the waste had accumulated in the rivers interfering with their flow, posed a potential threat of flooding, water pollution and are </w:t>
      </w:r>
      <w:r w:rsidRPr="004078A1">
        <w:rPr>
          <w:rFonts w:ascii="Bookman Old Style" w:hAnsi="Bookman Old Style"/>
        </w:rPr>
        <w:t>likely to have adverse environmental effects on the general environment.</w:t>
      </w:r>
    </w:p>
    <w:p w:rsidR="00DE1F15" w:rsidRPr="004078A1" w:rsidRDefault="00DE1F15" w:rsidP="00D9141D">
      <w:pPr>
        <w:spacing w:line="276" w:lineRule="auto"/>
        <w:ind w:left="990"/>
        <w:jc w:val="both"/>
        <w:rPr>
          <w:rFonts w:ascii="Bookman Old Style" w:hAnsi="Bookman Old Style" w:cs="Arial"/>
        </w:rPr>
      </w:pPr>
    </w:p>
    <w:p w:rsidR="00DE1F15" w:rsidRPr="00DA2ADE" w:rsidRDefault="00DE1F15" w:rsidP="00DA2ADE">
      <w:pPr>
        <w:spacing w:line="276" w:lineRule="auto"/>
        <w:ind w:left="270"/>
        <w:jc w:val="both"/>
        <w:rPr>
          <w:rFonts w:ascii="Bookman Old Style" w:hAnsi="Bookman Old Style" w:cs="Arial"/>
        </w:rPr>
      </w:pPr>
      <w:r w:rsidRPr="004078A1">
        <w:rPr>
          <w:rFonts w:ascii="Bookman Old Style" w:hAnsi="Bookman Old Style" w:cs="Arial"/>
        </w:rPr>
        <w:t xml:space="preserve">The Constitution of Kenya 2010 (Article 42) </w:t>
      </w:r>
      <w:r w:rsidR="00C53B91">
        <w:rPr>
          <w:rFonts w:ascii="Bookman Old Style" w:hAnsi="Bookman Old Style" w:cs="Arial"/>
        </w:rPr>
        <w:t>p</w:t>
      </w:r>
      <w:r w:rsidRPr="004078A1">
        <w:rPr>
          <w:rFonts w:ascii="Bookman Old Style" w:hAnsi="Bookman Old Style" w:cs="Arial"/>
        </w:rPr>
        <w:t xml:space="preserve">rovides that “Every person has a right to a clean and a healthy environment”. Further, </w:t>
      </w:r>
      <w:r w:rsidR="00C53B91">
        <w:rPr>
          <w:rFonts w:ascii="Bookman Old Style" w:hAnsi="Bookman Old Style" w:cs="Arial"/>
        </w:rPr>
        <w:t>th</w:t>
      </w:r>
      <w:r w:rsidRPr="004078A1">
        <w:rPr>
          <w:rFonts w:ascii="Bookman Old Style" w:hAnsi="Bookman Old Style" w:cs="Arial"/>
        </w:rPr>
        <w:t xml:space="preserve">e Environmental Management and Coordination Act (EMCA), 1999 </w:t>
      </w:r>
      <w:r w:rsidRPr="00DA2ADE">
        <w:rPr>
          <w:rFonts w:ascii="Bookman Old Style" w:hAnsi="Bookman Old Style" w:cs="Arial"/>
          <w:sz w:val="24"/>
          <w:szCs w:val="24"/>
        </w:rPr>
        <w:t>Part II – General Principles, Section 3 (1) states that “Every Person in Kenya is entitled to a clean and healthy environment and has a duty to safeguard and enhance the environment”.</w:t>
      </w:r>
    </w:p>
    <w:p w:rsidR="00DE1F15" w:rsidRPr="004078A1" w:rsidRDefault="00DE1F15" w:rsidP="00D9141D">
      <w:pPr>
        <w:pStyle w:val="ListParagraph"/>
        <w:ind w:left="1080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DE1F15" w:rsidRPr="004078A1" w:rsidRDefault="00DE1F15" w:rsidP="00D9141D">
      <w:pPr>
        <w:pStyle w:val="ListParagraph"/>
        <w:ind w:left="270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4078A1">
        <w:rPr>
          <w:rFonts w:ascii="Bookman Old Style" w:hAnsi="Bookman Old Style" w:cs="Arial"/>
          <w:sz w:val="24"/>
          <w:szCs w:val="24"/>
          <w:lang w:val="en-GB"/>
        </w:rPr>
        <w:t xml:space="preserve">Additionally, the Sustainable Waste Management Act, 2022 requires as follows: </w:t>
      </w:r>
    </w:p>
    <w:p w:rsidR="00DE1F15" w:rsidRPr="004078A1" w:rsidRDefault="00DE1F15" w:rsidP="00D9141D">
      <w:pPr>
        <w:pStyle w:val="ListParagraph"/>
        <w:ind w:left="270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DE1F15" w:rsidRPr="004078A1" w:rsidRDefault="00DE1F15" w:rsidP="00DE1F15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078A1">
        <w:rPr>
          <w:rFonts w:ascii="Bookman Old Style" w:hAnsi="Bookman Old Style" w:cs="Arial"/>
        </w:rPr>
        <w:t xml:space="preserve">Section 13 (1) states that “Every </w:t>
      </w:r>
      <w:r w:rsidRPr="004078A1">
        <w:rPr>
          <w:rFonts w:ascii="Bookman Old Style" w:hAnsi="Bookman Old Style"/>
        </w:rPr>
        <w:t>producer shall bear extended producer responsibility obligations to reduce pollution and environmental impacts of the products they introduce into the Kenyan market and waste arising therefrom</w:t>
      </w:r>
      <w:r w:rsidRPr="004078A1">
        <w:rPr>
          <w:rFonts w:ascii="Bookman Old Style" w:hAnsi="Bookman Old Style" w:cs="Arial"/>
        </w:rPr>
        <w:t xml:space="preserve">”. </w:t>
      </w:r>
    </w:p>
    <w:p w:rsidR="00DE1F15" w:rsidRPr="004078A1" w:rsidRDefault="00DE1F15" w:rsidP="00DE1F15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078A1">
        <w:rPr>
          <w:rFonts w:ascii="Bookman Old Style" w:hAnsi="Bookman Old Style" w:cs="Arial"/>
        </w:rPr>
        <w:t>Section 30 (1) states that “</w:t>
      </w:r>
      <w:r w:rsidRPr="004078A1">
        <w:rPr>
          <w:rFonts w:ascii="Bookman Old Style" w:hAnsi="Bookman Old Style"/>
        </w:rPr>
        <w:t>A person who fails to manage waste in accordance with this Act shall be</w:t>
      </w:r>
      <w:r w:rsidRPr="004078A1">
        <w:rPr>
          <w:rFonts w:ascii="Bookman Old Style" w:hAnsi="Bookman Old Style" w:cs="Arial"/>
        </w:rPr>
        <w:t xml:space="preserve"> </w:t>
      </w:r>
      <w:r w:rsidRPr="004078A1">
        <w:rPr>
          <w:rFonts w:ascii="Bookman Old Style" w:hAnsi="Bookman Old Style"/>
        </w:rPr>
        <w:t>required to clean up and restore the site where the waste was being managed to</w:t>
      </w:r>
      <w:r w:rsidRPr="004078A1">
        <w:rPr>
          <w:rFonts w:ascii="Bookman Old Style" w:hAnsi="Bookman Old Style" w:cs="Arial"/>
        </w:rPr>
        <w:t xml:space="preserve"> </w:t>
      </w:r>
      <w:r w:rsidRPr="004078A1">
        <w:rPr>
          <w:rFonts w:ascii="Bookman Old Style" w:hAnsi="Bookman Old Style"/>
        </w:rPr>
        <w:t>its natural state’’.</w:t>
      </w:r>
    </w:p>
    <w:p w:rsidR="00DE1F15" w:rsidRPr="004078A1" w:rsidRDefault="00DE1F15" w:rsidP="00DE1F15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</w:rPr>
      </w:pPr>
      <w:r w:rsidRPr="004078A1">
        <w:rPr>
          <w:rFonts w:ascii="Bookman Old Style" w:hAnsi="Bookman Old Style" w:cs="Arial"/>
        </w:rPr>
        <w:t xml:space="preserve">Section 30 </w:t>
      </w:r>
      <w:r w:rsidR="008E106B">
        <w:rPr>
          <w:rFonts w:ascii="Bookman Old Style" w:hAnsi="Bookman Old Style" w:cs="Arial"/>
        </w:rPr>
        <w:t>(</w:t>
      </w:r>
      <w:r w:rsidR="007D1C3A">
        <w:rPr>
          <w:rFonts w:ascii="Bookman Old Style" w:hAnsi="Bookman Old Style" w:cs="Arial"/>
        </w:rPr>
        <w:t>2)</w:t>
      </w:r>
      <w:r w:rsidR="00CD5148">
        <w:rPr>
          <w:rFonts w:ascii="Bookman Old Style" w:hAnsi="Bookman Old Style" w:cs="Arial"/>
        </w:rPr>
        <w:t xml:space="preserve"> </w:t>
      </w:r>
      <w:r w:rsidRPr="004078A1">
        <w:rPr>
          <w:rFonts w:ascii="Bookman Old Style" w:hAnsi="Bookman Old Style" w:cs="Arial"/>
        </w:rPr>
        <w:t>states that “The</w:t>
      </w:r>
      <w:r w:rsidRPr="004078A1">
        <w:rPr>
          <w:rFonts w:ascii="Bookman Old Style" w:hAnsi="Bookman Old Style"/>
        </w:rPr>
        <w:t xml:space="preserve"> Authority shall issue the person with a site restoration order if the person</w:t>
      </w:r>
      <w:r w:rsidRPr="004078A1">
        <w:rPr>
          <w:rFonts w:ascii="Bookman Old Style" w:hAnsi="Bookman Old Style" w:cs="Arial"/>
        </w:rPr>
        <w:t xml:space="preserve"> </w:t>
      </w:r>
      <w:r w:rsidRPr="004078A1">
        <w:rPr>
          <w:rFonts w:ascii="Bookman Old Style" w:hAnsi="Bookman Old Style"/>
        </w:rPr>
        <w:t>fails to clean up and restore the site in accordance with subsection (1)’’.</w:t>
      </w:r>
    </w:p>
    <w:p w:rsidR="00DE1F15" w:rsidRPr="004078A1" w:rsidRDefault="00DE1F15" w:rsidP="00DE1F15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078A1">
        <w:rPr>
          <w:rFonts w:ascii="Bookman Old Style" w:hAnsi="Bookman Old Style" w:cs="Arial"/>
        </w:rPr>
        <w:t>Section 32 states that “a</w:t>
      </w:r>
      <w:r w:rsidRPr="004078A1">
        <w:rPr>
          <w:rFonts w:ascii="Bookman Old Style" w:hAnsi="Bookman Old Style"/>
        </w:rPr>
        <w:t xml:space="preserve"> person who contravenes a provision of this Act for which a penalty has not been prescribed shall, on conviction, be liable to a fine of not less than two million shillings and not more than four million shillings or to imprisonment for a term not exceeding four years or to both</w:t>
      </w:r>
    </w:p>
    <w:p w:rsidR="00DE1F15" w:rsidRPr="004078A1" w:rsidRDefault="00DE1F15" w:rsidP="00D9141D">
      <w:pPr>
        <w:pStyle w:val="ListParagraph"/>
        <w:ind w:left="270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:rsidR="00DE1F15" w:rsidRPr="004078A1" w:rsidRDefault="00CD24BD" w:rsidP="00D9141D">
      <w:pPr>
        <w:spacing w:line="276" w:lineRule="auto"/>
        <w:ind w:left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Based on the legal provisions above, </w:t>
      </w:r>
      <w:r w:rsidR="0087234D">
        <w:rPr>
          <w:rFonts w:ascii="Bookman Old Style" w:hAnsi="Bookman Old Style"/>
        </w:rPr>
        <w:t>t</w:t>
      </w:r>
      <w:r w:rsidR="00DE1F15" w:rsidRPr="0067710A">
        <w:rPr>
          <w:rFonts w:ascii="Bookman Old Style" w:hAnsi="Bookman Old Style"/>
        </w:rPr>
        <w:t>he Authority</w:t>
      </w:r>
      <w:r w:rsidR="00493D63">
        <w:rPr>
          <w:rFonts w:ascii="Bookman Old Style" w:hAnsi="Bookman Old Style"/>
        </w:rPr>
        <w:t xml:space="preserve"> issued </w:t>
      </w:r>
      <w:r w:rsidR="00636F84">
        <w:rPr>
          <w:rFonts w:ascii="Bookman Old Style" w:hAnsi="Bookman Old Style"/>
        </w:rPr>
        <w:t xml:space="preserve">environmental </w:t>
      </w:r>
      <w:r w:rsidR="00493D63">
        <w:rPr>
          <w:rFonts w:ascii="Bookman Old Style" w:hAnsi="Bookman Old Style"/>
        </w:rPr>
        <w:t xml:space="preserve">restoration </w:t>
      </w:r>
      <w:r w:rsidR="0087234D">
        <w:rPr>
          <w:rFonts w:ascii="Bookman Old Style" w:hAnsi="Bookman Old Style"/>
        </w:rPr>
        <w:t>order</w:t>
      </w:r>
      <w:r w:rsidR="00493D63">
        <w:rPr>
          <w:rFonts w:ascii="Bookman Old Style" w:hAnsi="Bookman Old Style"/>
        </w:rPr>
        <w:t>s to</w:t>
      </w:r>
      <w:r w:rsidR="0087234D">
        <w:rPr>
          <w:rFonts w:ascii="Bookman Old Style" w:hAnsi="Bookman Old Style"/>
        </w:rPr>
        <w:t xml:space="preserve"> 29 companies </w:t>
      </w:r>
      <w:r w:rsidR="00636F84">
        <w:rPr>
          <w:rFonts w:ascii="Bookman Old Style" w:hAnsi="Bookman Old Style"/>
        </w:rPr>
        <w:t xml:space="preserve">to </w:t>
      </w:r>
      <w:r w:rsidR="00EF0D5C">
        <w:rPr>
          <w:rFonts w:ascii="Bookman Old Style" w:hAnsi="Bookman Old Style"/>
        </w:rPr>
        <w:t xml:space="preserve">individually </w:t>
      </w:r>
      <w:r w:rsidR="00DE1F15" w:rsidRPr="0067710A">
        <w:rPr>
          <w:rFonts w:ascii="Bookman Old Style" w:hAnsi="Bookman Old Style"/>
        </w:rPr>
        <w:t xml:space="preserve">undertake </w:t>
      </w:r>
      <w:r w:rsidR="00865B9D">
        <w:rPr>
          <w:rFonts w:ascii="Bookman Old Style" w:hAnsi="Bookman Old Style"/>
        </w:rPr>
        <w:t xml:space="preserve">curative and preventive </w:t>
      </w:r>
      <w:r w:rsidR="00B966C4">
        <w:rPr>
          <w:rFonts w:ascii="Bookman Old Style" w:hAnsi="Bookman Old Style"/>
        </w:rPr>
        <w:t>measure</w:t>
      </w:r>
      <w:r w:rsidR="0047405B">
        <w:rPr>
          <w:rFonts w:ascii="Bookman Old Style" w:hAnsi="Bookman Old Style"/>
        </w:rPr>
        <w:t xml:space="preserve">s </w:t>
      </w:r>
      <w:r w:rsidR="00B966C4">
        <w:rPr>
          <w:rFonts w:ascii="Bookman Old Style" w:hAnsi="Bookman Old Style"/>
        </w:rPr>
        <w:t>to reduce pollution in Nairobi river</w:t>
      </w:r>
      <w:r w:rsidR="00A566A7">
        <w:rPr>
          <w:rFonts w:ascii="Bookman Old Style" w:hAnsi="Bookman Old Style"/>
        </w:rPr>
        <w:t xml:space="preserve">. Each company is </w:t>
      </w:r>
      <w:r w:rsidR="005E1AB7">
        <w:rPr>
          <w:rFonts w:ascii="Bookman Old Style" w:hAnsi="Bookman Old Style"/>
        </w:rPr>
        <w:t xml:space="preserve">expected to do </w:t>
      </w:r>
      <w:r w:rsidR="00DE1F15" w:rsidRPr="0067710A">
        <w:rPr>
          <w:rFonts w:ascii="Bookman Old Style" w:hAnsi="Bookman Old Style"/>
        </w:rPr>
        <w:t xml:space="preserve">the following within 30 days of receipt of this </w:t>
      </w:r>
      <w:r w:rsidR="005E1AB7">
        <w:rPr>
          <w:rFonts w:ascii="Bookman Old Style" w:hAnsi="Bookman Old Style"/>
        </w:rPr>
        <w:t xml:space="preserve">environment restoration </w:t>
      </w:r>
      <w:r w:rsidR="00DE1F15" w:rsidRPr="0067710A">
        <w:rPr>
          <w:rFonts w:ascii="Bookman Old Style" w:hAnsi="Bookman Old Style"/>
        </w:rPr>
        <w:t>Order.</w:t>
      </w:r>
    </w:p>
    <w:p w:rsidR="00DE1F15" w:rsidRPr="004078A1" w:rsidRDefault="00DE1F15" w:rsidP="00D9141D">
      <w:pPr>
        <w:spacing w:line="276" w:lineRule="auto"/>
        <w:ind w:left="270"/>
        <w:jc w:val="both"/>
        <w:rPr>
          <w:rFonts w:ascii="Bookman Old Style" w:hAnsi="Bookman Old Style"/>
        </w:rPr>
      </w:pPr>
    </w:p>
    <w:p w:rsidR="00DE1F15" w:rsidRPr="004078A1" w:rsidRDefault="00DE1F15" w:rsidP="00DE1F15">
      <w:pPr>
        <w:numPr>
          <w:ilvl w:val="0"/>
          <w:numId w:val="3"/>
        </w:numPr>
        <w:spacing w:after="0" w:line="276" w:lineRule="auto"/>
        <w:ind w:left="990"/>
        <w:jc w:val="both"/>
        <w:rPr>
          <w:rFonts w:ascii="Bookman Old Style" w:hAnsi="Bookman Old Style"/>
        </w:rPr>
      </w:pPr>
      <w:r w:rsidRPr="004078A1">
        <w:rPr>
          <w:rFonts w:ascii="Bookman Old Style" w:hAnsi="Bookman Old Style"/>
        </w:rPr>
        <w:t xml:space="preserve">Clean up the wastes within the </w:t>
      </w:r>
      <w:r w:rsidR="00851F41">
        <w:rPr>
          <w:rFonts w:ascii="Bookman Old Style" w:hAnsi="Bookman Old Style"/>
        </w:rPr>
        <w:t xml:space="preserve">specific </w:t>
      </w:r>
      <w:r w:rsidRPr="004078A1">
        <w:rPr>
          <w:rFonts w:ascii="Bookman Old Style" w:hAnsi="Bookman Old Style"/>
        </w:rPr>
        <w:t xml:space="preserve">sites </w:t>
      </w:r>
      <w:r w:rsidR="00851F41">
        <w:rPr>
          <w:rFonts w:ascii="Bookman Old Style" w:hAnsi="Bookman Old Style"/>
        </w:rPr>
        <w:t xml:space="preserve">where the crime was committed </w:t>
      </w:r>
      <w:r w:rsidR="00967869">
        <w:rPr>
          <w:rFonts w:ascii="Bookman Old Style" w:hAnsi="Bookman Old Style"/>
        </w:rPr>
        <w:t>t</w:t>
      </w:r>
      <w:r w:rsidRPr="004078A1">
        <w:rPr>
          <w:rFonts w:ascii="Bookman Old Style" w:hAnsi="Bookman Old Style"/>
        </w:rPr>
        <w:t>o their natural state.</w:t>
      </w:r>
    </w:p>
    <w:p w:rsidR="00DE1F15" w:rsidRDefault="00DE1F15" w:rsidP="00DE1F15">
      <w:pPr>
        <w:numPr>
          <w:ilvl w:val="0"/>
          <w:numId w:val="3"/>
        </w:numPr>
        <w:spacing w:after="0" w:line="276" w:lineRule="auto"/>
        <w:ind w:left="990"/>
        <w:jc w:val="both"/>
        <w:rPr>
          <w:rFonts w:ascii="Bookman Old Style" w:hAnsi="Bookman Old Style"/>
        </w:rPr>
      </w:pPr>
      <w:r w:rsidRPr="004078A1">
        <w:rPr>
          <w:rFonts w:ascii="Bookman Old Style" w:hAnsi="Bookman Old Style"/>
        </w:rPr>
        <w:t xml:space="preserve">Submit to NEMA the EPR plan for management of waste emanating from </w:t>
      </w:r>
      <w:r w:rsidR="00C13B37">
        <w:rPr>
          <w:rFonts w:ascii="Bookman Old Style" w:hAnsi="Bookman Old Style"/>
        </w:rPr>
        <w:t>their</w:t>
      </w:r>
      <w:r w:rsidRPr="004078A1">
        <w:rPr>
          <w:rFonts w:ascii="Bookman Old Style" w:hAnsi="Bookman Old Style"/>
        </w:rPr>
        <w:t xml:space="preserve"> products and packaging for Nairobi River catchment region. </w:t>
      </w:r>
    </w:p>
    <w:p w:rsidR="00DB252E" w:rsidRPr="004078A1" w:rsidRDefault="00DB252E" w:rsidP="00DB252E">
      <w:pPr>
        <w:spacing w:after="0" w:line="276" w:lineRule="auto"/>
        <w:ind w:left="990"/>
        <w:jc w:val="both"/>
        <w:rPr>
          <w:rFonts w:ascii="Bookman Old Style" w:hAnsi="Bookman Old Style"/>
        </w:rPr>
      </w:pPr>
    </w:p>
    <w:p w:rsidR="00F43E48" w:rsidRDefault="00E01529" w:rsidP="00340A58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orders were signed by the </w:t>
      </w:r>
      <w:r w:rsidR="00340A58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irector </w:t>
      </w:r>
      <w:r w:rsidR="00340A58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>eneral</w:t>
      </w:r>
      <w:r w:rsidR="00340A58">
        <w:rPr>
          <w:rFonts w:ascii="Bookman Old Style" w:hAnsi="Bookman Old Style"/>
        </w:rPr>
        <w:t xml:space="preserve"> </w:t>
      </w:r>
      <w:r w:rsidR="00D45FE1">
        <w:rPr>
          <w:rFonts w:ascii="Bookman Old Style" w:hAnsi="Bookman Old Style"/>
        </w:rPr>
        <w:t xml:space="preserve">NEMA </w:t>
      </w:r>
      <w:r w:rsidR="00340A58">
        <w:rPr>
          <w:rFonts w:ascii="Bookman Old Style" w:hAnsi="Bookman Old Style"/>
        </w:rPr>
        <w:t xml:space="preserve">on </w:t>
      </w:r>
      <w:r w:rsidR="00080AB5">
        <w:rPr>
          <w:rFonts w:ascii="Bookman Old Style" w:hAnsi="Bookman Old Style"/>
        </w:rPr>
        <w:t>25</w:t>
      </w:r>
      <w:r w:rsidR="00080AB5" w:rsidRPr="00080AB5">
        <w:rPr>
          <w:rFonts w:ascii="Bookman Old Style" w:hAnsi="Bookman Old Style"/>
          <w:vertAlign w:val="superscript"/>
        </w:rPr>
        <w:t>th</w:t>
      </w:r>
      <w:r w:rsidR="00080AB5">
        <w:rPr>
          <w:rFonts w:ascii="Bookman Old Style" w:hAnsi="Bookman Old Style"/>
        </w:rPr>
        <w:t xml:space="preserve"> January and this marks the first day of enforcement of the </w:t>
      </w:r>
      <w:r w:rsidR="00ED5AE5">
        <w:rPr>
          <w:rFonts w:ascii="Bookman Old Style" w:hAnsi="Bookman Old Style"/>
        </w:rPr>
        <w:t xml:space="preserve">provisions of Extended Producer </w:t>
      </w:r>
      <w:r w:rsidR="003357C0">
        <w:rPr>
          <w:rFonts w:ascii="Bookman Old Style" w:hAnsi="Bookman Old Style"/>
        </w:rPr>
        <w:t>Responsibility in Kenya</w:t>
      </w:r>
      <w:r w:rsidR="00AD1C85">
        <w:rPr>
          <w:rFonts w:ascii="Bookman Old Style" w:hAnsi="Bookman Old Style"/>
        </w:rPr>
        <w:t xml:space="preserve">. </w:t>
      </w:r>
      <w:r w:rsidR="004641A7">
        <w:rPr>
          <w:rFonts w:ascii="Bookman Old Style" w:hAnsi="Bookman Old Style"/>
        </w:rPr>
        <w:t>It is e</w:t>
      </w:r>
      <w:r w:rsidR="00046E00">
        <w:rPr>
          <w:rFonts w:ascii="Bookman Old Style" w:hAnsi="Bookman Old Style"/>
        </w:rPr>
        <w:t xml:space="preserve">xpected that the producers will operationalize their EPR </w:t>
      </w:r>
      <w:r w:rsidR="002465BF">
        <w:rPr>
          <w:rFonts w:ascii="Bookman Old Style" w:hAnsi="Bookman Old Style"/>
        </w:rPr>
        <w:t>plans to prevent environmental pollution by their products.</w:t>
      </w:r>
    </w:p>
    <w:p w:rsidR="00373199" w:rsidRPr="004078A1" w:rsidRDefault="00373199" w:rsidP="00D9141D">
      <w:pPr>
        <w:spacing w:line="276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The environmental restoration order also communicated to the producers the</w:t>
      </w:r>
      <w:r w:rsidRPr="004078A1">
        <w:rPr>
          <w:rFonts w:ascii="Bookman Old Style" w:hAnsi="Bookman Old Style" w:cs="Arial"/>
        </w:rPr>
        <w:t xml:space="preserve"> right of appeal against this order to the National Environment Tribunal</w:t>
      </w:r>
      <w:r>
        <w:rPr>
          <w:rFonts w:ascii="Bookman Old Style" w:hAnsi="Bookman Old Style" w:cs="Arial"/>
        </w:rPr>
        <w:t xml:space="preserve">, </w:t>
      </w:r>
      <w:r w:rsidRPr="004078A1">
        <w:rPr>
          <w:rFonts w:ascii="Bookman Old Style" w:hAnsi="Bookman Old Style" w:cs="Arial"/>
        </w:rPr>
        <w:t xml:space="preserve">if aggrieved. </w:t>
      </w:r>
    </w:p>
    <w:p w:rsidR="00F13A96" w:rsidRDefault="00AD1C85" w:rsidP="00340A58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NEMA intends to </w:t>
      </w:r>
      <w:r w:rsidR="005E1841">
        <w:rPr>
          <w:rFonts w:ascii="Bookman Old Style" w:hAnsi="Bookman Old Style"/>
        </w:rPr>
        <w:t xml:space="preserve">inspect all rivers in the country and </w:t>
      </w:r>
      <w:r w:rsidR="002E6348">
        <w:rPr>
          <w:rFonts w:ascii="Bookman Old Style" w:hAnsi="Bookman Old Style"/>
        </w:rPr>
        <w:t>task the producers to restore all sites polluted by produ</w:t>
      </w:r>
      <w:r w:rsidR="009938A8">
        <w:rPr>
          <w:rFonts w:ascii="Bookman Old Style" w:hAnsi="Bookman Old Style"/>
        </w:rPr>
        <w:t xml:space="preserve">cts subject to EPR. </w:t>
      </w:r>
      <w:r w:rsidR="00180583">
        <w:rPr>
          <w:rFonts w:ascii="Bookman Old Style" w:hAnsi="Bookman Old Style"/>
        </w:rPr>
        <w:t xml:space="preserve">This would help to ensure that all </w:t>
      </w:r>
      <w:r w:rsidR="003E38CD">
        <w:rPr>
          <w:rFonts w:ascii="Bookman Old Style" w:hAnsi="Bookman Old Style"/>
        </w:rPr>
        <w:t xml:space="preserve">rivers are flowing all the time and devoid </w:t>
      </w:r>
      <w:r w:rsidR="00452EBF">
        <w:rPr>
          <w:rFonts w:ascii="Bookman Old Style" w:hAnsi="Bookman Old Style"/>
        </w:rPr>
        <w:t>of</w:t>
      </w:r>
      <w:r w:rsidR="003E38CD">
        <w:rPr>
          <w:rFonts w:ascii="Bookman Old Style" w:hAnsi="Bookman Old Style"/>
        </w:rPr>
        <w:t xml:space="preserve"> solid waste pollution. </w:t>
      </w:r>
    </w:p>
    <w:p w:rsidR="00DE1F15" w:rsidRDefault="00DE1F15"/>
    <w:sectPr w:rsidR="00DE1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4F1"/>
    <w:multiLevelType w:val="hybridMultilevel"/>
    <w:tmpl w:val="BA76B4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B36F9"/>
    <w:multiLevelType w:val="hybridMultilevel"/>
    <w:tmpl w:val="4470F20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42146A2"/>
    <w:multiLevelType w:val="hybridMultilevel"/>
    <w:tmpl w:val="C41266FE"/>
    <w:lvl w:ilvl="0" w:tplc="02E45FEA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92F42D0A">
      <w:start w:val="1"/>
      <w:numFmt w:val="lowerLetter"/>
      <w:lvlText w:val="(%2)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E723D63"/>
    <w:multiLevelType w:val="hybridMultilevel"/>
    <w:tmpl w:val="ACAE1758"/>
    <w:lvl w:ilvl="0" w:tplc="BBE033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871091">
    <w:abstractNumId w:val="2"/>
  </w:num>
  <w:num w:numId="2" w16cid:durableId="1991135920">
    <w:abstractNumId w:val="0"/>
  </w:num>
  <w:num w:numId="3" w16cid:durableId="472988187">
    <w:abstractNumId w:val="1"/>
  </w:num>
  <w:num w:numId="4" w16cid:durableId="56113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15"/>
    <w:rsid w:val="00011159"/>
    <w:rsid w:val="00046E00"/>
    <w:rsid w:val="00080AB5"/>
    <w:rsid w:val="00085824"/>
    <w:rsid w:val="00180583"/>
    <w:rsid w:val="00183096"/>
    <w:rsid w:val="00240F37"/>
    <w:rsid w:val="002465BF"/>
    <w:rsid w:val="002E6348"/>
    <w:rsid w:val="00331DBF"/>
    <w:rsid w:val="003357C0"/>
    <w:rsid w:val="00340A58"/>
    <w:rsid w:val="00373199"/>
    <w:rsid w:val="003A722F"/>
    <w:rsid w:val="003E38CD"/>
    <w:rsid w:val="00452EBF"/>
    <w:rsid w:val="004641A7"/>
    <w:rsid w:val="0047405B"/>
    <w:rsid w:val="00475B71"/>
    <w:rsid w:val="004877E7"/>
    <w:rsid w:val="00493D63"/>
    <w:rsid w:val="00581E99"/>
    <w:rsid w:val="00583CBE"/>
    <w:rsid w:val="00593E48"/>
    <w:rsid w:val="005C283B"/>
    <w:rsid w:val="005E1841"/>
    <w:rsid w:val="005E1AB7"/>
    <w:rsid w:val="00636F84"/>
    <w:rsid w:val="007449CA"/>
    <w:rsid w:val="007C6ABD"/>
    <w:rsid w:val="007D1C3A"/>
    <w:rsid w:val="00851F41"/>
    <w:rsid w:val="00865B9D"/>
    <w:rsid w:val="0087234D"/>
    <w:rsid w:val="008E106B"/>
    <w:rsid w:val="00930E31"/>
    <w:rsid w:val="00967869"/>
    <w:rsid w:val="009938A8"/>
    <w:rsid w:val="009D14FC"/>
    <w:rsid w:val="009F5B73"/>
    <w:rsid w:val="00A258D1"/>
    <w:rsid w:val="00A566A7"/>
    <w:rsid w:val="00A62C5B"/>
    <w:rsid w:val="00A71D35"/>
    <w:rsid w:val="00AD05C5"/>
    <w:rsid w:val="00AD1C85"/>
    <w:rsid w:val="00B2471A"/>
    <w:rsid w:val="00B52DC8"/>
    <w:rsid w:val="00B63313"/>
    <w:rsid w:val="00B717B8"/>
    <w:rsid w:val="00B966C4"/>
    <w:rsid w:val="00C13B37"/>
    <w:rsid w:val="00C53B91"/>
    <w:rsid w:val="00CD24BD"/>
    <w:rsid w:val="00CD5148"/>
    <w:rsid w:val="00D45FE1"/>
    <w:rsid w:val="00D74AFB"/>
    <w:rsid w:val="00D83832"/>
    <w:rsid w:val="00DA2ADE"/>
    <w:rsid w:val="00DB252E"/>
    <w:rsid w:val="00DE1F15"/>
    <w:rsid w:val="00E01529"/>
    <w:rsid w:val="00EA6D91"/>
    <w:rsid w:val="00ED5AE5"/>
    <w:rsid w:val="00EF0D5C"/>
    <w:rsid w:val="00F13A96"/>
    <w:rsid w:val="00F43E48"/>
    <w:rsid w:val="00F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8E5DBB-C1A0-8D4D-82A1-F8EBA8B8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1F15"/>
    <w:pPr>
      <w:spacing w:after="0" w:line="276" w:lineRule="auto"/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DE1F15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ayubmacharia2@gmail.com</dc:creator>
  <cp:keywords/>
  <dc:description/>
  <cp:lastModifiedBy>ayubmacharia2@gmail.com</cp:lastModifiedBy>
  <cp:revision>2</cp:revision>
  <dcterms:created xsi:type="dcterms:W3CDTF">2024-01-29T11:54:00Z</dcterms:created>
  <dcterms:modified xsi:type="dcterms:W3CDTF">2024-01-29T11:54:00Z</dcterms:modified>
</cp:coreProperties>
</file>