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6" w:rsidRPr="004B6866" w:rsidRDefault="004B6866" w:rsidP="004B6866">
      <w:pPr>
        <w:jc w:val="center"/>
        <w:rPr>
          <w:rFonts w:ascii="Rockwell" w:hAnsi="Rockwell"/>
          <w:b/>
        </w:rPr>
      </w:pPr>
      <w:bookmarkStart w:id="0" w:name="_Toc422950293"/>
      <w:bookmarkStart w:id="1" w:name="_GoBack"/>
      <w:bookmarkEnd w:id="1"/>
      <w:r w:rsidRPr="004B6866">
        <w:rPr>
          <w:rFonts w:ascii="Rockwell" w:hAnsi="Rockwell" w:cs="Arial"/>
          <w:noProof/>
          <w:szCs w:val="24"/>
          <w:lang w:val="en-US"/>
        </w:rPr>
        <w:drawing>
          <wp:inline distT="0" distB="0" distL="0" distR="0" wp14:anchorId="6ADF5D61" wp14:editId="160E4DF3">
            <wp:extent cx="2381250" cy="2143125"/>
            <wp:effectExtent l="0" t="0" r="0" b="9525"/>
            <wp:docPr id="3" name="Picture 1" descr="11 Agu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Agus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11089" r="5672" b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 xml:space="preserve">NATIONAL ENVIRONMENT MANAGEMENT AUTHORITY </w:t>
      </w: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>The National Implementing Entity (NIE)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 w:val="32"/>
          <w:szCs w:val="24"/>
        </w:rPr>
      </w:pPr>
      <w:r w:rsidRPr="004B6866">
        <w:rPr>
          <w:rFonts w:ascii="Rockwell" w:hAnsi="Rockwell" w:cs="Arial"/>
          <w:b/>
          <w:bCs/>
          <w:color w:val="000000"/>
          <w:sz w:val="32"/>
          <w:szCs w:val="24"/>
        </w:rPr>
        <w:t xml:space="preserve">BASELINE SURVEY GUIDANCE PACK 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 xml:space="preserve">FOR </w:t>
      </w: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>INTEGRATED PROGRAMME TO BUILD RESILIENCE TO CLIMATE CHANGE &amp; ADAPTIVE CAPACITY OF VULNERABLE COMMUNITIES IN KENYA</w:t>
      </w:r>
      <w:r w:rsidRPr="004B6866">
        <w:rPr>
          <w:rFonts w:ascii="Rockwell" w:hAnsi="Rockwell"/>
          <w:b/>
        </w:rPr>
        <w:t xml:space="preserve"> 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>April 2016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 w:val="20"/>
          <w:szCs w:val="24"/>
        </w:rPr>
      </w:pPr>
      <w:r w:rsidRPr="004B6866">
        <w:rPr>
          <w:rFonts w:ascii="Rockwell" w:hAnsi="Rockwell" w:cs="Arial"/>
          <w:b/>
          <w:bCs/>
          <w:color w:val="000000"/>
          <w:sz w:val="20"/>
          <w:szCs w:val="24"/>
        </w:rPr>
        <w:t>Funded by</w:t>
      </w: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  <w:r w:rsidRPr="004B6866">
        <w:rPr>
          <w:rFonts w:ascii="Rockwell" w:hAnsi="Rockwell"/>
          <w:b/>
          <w:noProof/>
          <w:color w:val="000000"/>
          <w:sz w:val="30"/>
          <w:szCs w:val="24"/>
          <w:lang w:val="en-US"/>
        </w:rPr>
        <w:drawing>
          <wp:inline distT="0" distB="0" distL="0" distR="0" wp14:anchorId="3DD1128F" wp14:editId="18C1C308">
            <wp:extent cx="1565275" cy="1057910"/>
            <wp:effectExtent l="0" t="0" r="0" b="0"/>
            <wp:docPr id="1" name="Picture 76" descr="adaptation-fu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daptation-fund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6">
        <w:rPr>
          <w:rFonts w:ascii="Rockwell" w:hAnsi="Rockwell"/>
          <w:b/>
        </w:rPr>
        <w:br w:type="page"/>
      </w:r>
    </w:p>
    <w:bookmarkEnd w:id="0"/>
    <w:p w:rsidR="004B6866" w:rsidRPr="004B6866" w:rsidRDefault="004B6866" w:rsidP="006E7AB7">
      <w:p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b/>
          <w:color w:val="000000"/>
          <w:szCs w:val="24"/>
        </w:rPr>
      </w:pPr>
      <w:r w:rsidRPr="004B6866">
        <w:rPr>
          <w:rFonts w:ascii="Rockwell" w:hAnsi="Rockwell"/>
          <w:b/>
          <w:color w:val="000000"/>
          <w:szCs w:val="24"/>
        </w:rPr>
        <w:lastRenderedPageBreak/>
        <w:t>Guidelines</w:t>
      </w:r>
    </w:p>
    <w:p w:rsidR="006E7AB7" w:rsidRPr="004B6866" w:rsidRDefault="006E7AB7" w:rsidP="006E7AB7">
      <w:p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 xml:space="preserve">Baseline information about the background upon which the programme/project is building upon is extremely important because it provides the benchmark at different points of project implementation, for comparison and analysis with actual progress. Each Executing Entity (EE)/Sub -EE shall conduct a baseline survey in order to establish benchmark/Baseline level for the progress, at the beginning of the programme implementation. Subsequent surveys shall be done to measure progress in reference to the benchmark. </w:t>
      </w:r>
    </w:p>
    <w:p w:rsidR="006E7AB7" w:rsidRPr="004B6866" w:rsidRDefault="006E7AB7" w:rsidP="006E7AB7">
      <w:p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The following are the guidance notes for executing the baseline survey.</w:t>
      </w:r>
    </w:p>
    <w:p w:rsidR="006E7AB7" w:rsidRPr="004B6866" w:rsidRDefault="006E7AB7" w:rsidP="006E7A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The NIE has provided baseline survey framework that details programme outcome baseline indicators and programme output indicators for the five component of the AF programme, (Appendix 1.)</w:t>
      </w:r>
    </w:p>
    <w:p w:rsidR="00775ABF" w:rsidRPr="004B6866" w:rsidRDefault="00775ABF" w:rsidP="00775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Each EE/Sub –EE shall carry out a baseline study to establish the Baseline Levels for each of their programme outcome and outputs</w:t>
      </w:r>
      <w:r w:rsidR="00D272DD" w:rsidRPr="004B6866">
        <w:rPr>
          <w:rFonts w:ascii="Rockwell" w:hAnsi="Rockwell"/>
          <w:color w:val="000000"/>
          <w:szCs w:val="24"/>
        </w:rPr>
        <w:t xml:space="preserve"> </w:t>
      </w:r>
      <w:r w:rsidR="00292D43" w:rsidRPr="004B6866">
        <w:rPr>
          <w:rFonts w:ascii="Rockwell" w:hAnsi="Rockwell"/>
          <w:color w:val="000000"/>
          <w:szCs w:val="24"/>
        </w:rPr>
        <w:t>as provided for in the programme baseline survey framework</w:t>
      </w:r>
      <w:r w:rsidRPr="004B6866">
        <w:rPr>
          <w:rFonts w:ascii="Rockwell" w:hAnsi="Rockwell"/>
          <w:color w:val="000000"/>
          <w:szCs w:val="24"/>
        </w:rPr>
        <w:t xml:space="preserve">. </w:t>
      </w:r>
    </w:p>
    <w:p w:rsidR="00292D43" w:rsidRPr="004B6866" w:rsidRDefault="00292D43" w:rsidP="00775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Each EE/Sub –EE is required to use conventional research method for establishing the Baseline Levels for each identified indicator.</w:t>
      </w:r>
    </w:p>
    <w:p w:rsidR="006E7AB7" w:rsidRPr="004B6866" w:rsidRDefault="00D272DD" w:rsidP="00775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 xml:space="preserve">The EE/Sub –EE </w:t>
      </w:r>
      <w:r w:rsidR="00775ABF" w:rsidRPr="004B6866">
        <w:rPr>
          <w:rFonts w:ascii="Rockwell" w:hAnsi="Rockwell"/>
          <w:color w:val="000000"/>
          <w:szCs w:val="24"/>
        </w:rPr>
        <w:t>shall submit the baseline study</w:t>
      </w:r>
      <w:r w:rsidRPr="004B6866">
        <w:rPr>
          <w:rFonts w:ascii="Rockwell" w:hAnsi="Rockwell"/>
          <w:color w:val="000000"/>
          <w:szCs w:val="24"/>
        </w:rPr>
        <w:t xml:space="preserve"> report to NIE</w:t>
      </w:r>
      <w:r w:rsidR="00292D43" w:rsidRPr="004B6866">
        <w:rPr>
          <w:rFonts w:ascii="Rockwell" w:hAnsi="Rockwell"/>
          <w:color w:val="000000"/>
          <w:szCs w:val="24"/>
        </w:rPr>
        <w:t xml:space="preserve">, both in hardcopy and softcopy within the first quarter of programme implementation. </w:t>
      </w:r>
    </w:p>
    <w:p w:rsidR="00D272DD" w:rsidRPr="004B6866" w:rsidRDefault="00D272DD" w:rsidP="00775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The NIE shall review the baseline study report</w:t>
      </w:r>
      <w:r w:rsidR="00292D43" w:rsidRPr="004B6866">
        <w:rPr>
          <w:rFonts w:ascii="Rockwell" w:hAnsi="Rockwell"/>
          <w:color w:val="000000"/>
          <w:szCs w:val="24"/>
        </w:rPr>
        <w:t>, compile and authenticate the findings before submitting to AF.</w:t>
      </w:r>
    </w:p>
    <w:p w:rsidR="00775ABF" w:rsidRPr="004B6866" w:rsidRDefault="00775ABF" w:rsidP="00775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The baseline study report</w:t>
      </w:r>
      <w:r w:rsidR="006C200D" w:rsidRPr="004B6866">
        <w:rPr>
          <w:rFonts w:ascii="Rockwell" w:hAnsi="Rockwell"/>
          <w:color w:val="000000"/>
          <w:szCs w:val="24"/>
        </w:rPr>
        <w:t xml:space="preserve"> shall contain the following</w:t>
      </w:r>
      <w:r w:rsidR="00292D43" w:rsidRPr="004B6866">
        <w:rPr>
          <w:rFonts w:ascii="Rockwell" w:hAnsi="Rockwell"/>
          <w:color w:val="000000"/>
          <w:szCs w:val="24"/>
        </w:rPr>
        <w:t>:</w:t>
      </w:r>
    </w:p>
    <w:p w:rsidR="00775ABF" w:rsidRPr="004B6866" w:rsidRDefault="00775ABF" w:rsidP="00775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Introduction of the programme component</w:t>
      </w:r>
      <w:r w:rsidR="00462111" w:rsidRPr="004B6866">
        <w:rPr>
          <w:rFonts w:ascii="Rockwell" w:hAnsi="Rockwell"/>
          <w:color w:val="000000"/>
          <w:szCs w:val="24"/>
        </w:rPr>
        <w:t>(s)</w:t>
      </w:r>
      <w:r w:rsidRPr="004B6866">
        <w:rPr>
          <w:rFonts w:ascii="Rockwell" w:hAnsi="Rockwell"/>
          <w:color w:val="000000"/>
          <w:szCs w:val="24"/>
        </w:rPr>
        <w:t xml:space="preserve"> the entity is implementing</w:t>
      </w:r>
    </w:p>
    <w:p w:rsidR="006C200D" w:rsidRPr="004B6866" w:rsidRDefault="00775ABF" w:rsidP="00775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lastRenderedPageBreak/>
        <w:t xml:space="preserve">Description of the </w:t>
      </w:r>
      <w:r w:rsidR="006C200D" w:rsidRPr="004B6866">
        <w:rPr>
          <w:rFonts w:ascii="Rockwell" w:hAnsi="Rockwell"/>
          <w:color w:val="000000"/>
          <w:szCs w:val="24"/>
        </w:rPr>
        <w:t xml:space="preserve">specific </w:t>
      </w:r>
      <w:r w:rsidRPr="004B6866">
        <w:rPr>
          <w:rFonts w:ascii="Rockwell" w:hAnsi="Rockwell"/>
          <w:color w:val="000000"/>
          <w:szCs w:val="24"/>
        </w:rPr>
        <w:t xml:space="preserve">funded programme </w:t>
      </w:r>
      <w:r w:rsidR="006C200D" w:rsidRPr="004B6866">
        <w:rPr>
          <w:rFonts w:ascii="Rockwell" w:hAnsi="Rockwell"/>
          <w:color w:val="000000"/>
          <w:szCs w:val="24"/>
        </w:rPr>
        <w:t>activities/output and the geographical location</w:t>
      </w:r>
      <w:r w:rsidR="00292D43" w:rsidRPr="004B6866">
        <w:rPr>
          <w:rFonts w:ascii="Rockwell" w:hAnsi="Rockwell"/>
          <w:color w:val="000000"/>
          <w:szCs w:val="24"/>
        </w:rPr>
        <w:t xml:space="preserve">. </w:t>
      </w:r>
    </w:p>
    <w:p w:rsidR="006C200D" w:rsidRPr="004B6866" w:rsidRDefault="004B6866" w:rsidP="00775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A description of the</w:t>
      </w:r>
      <w:r w:rsidR="006C200D" w:rsidRPr="004B6866">
        <w:rPr>
          <w:rFonts w:ascii="Rockwell" w:hAnsi="Rockwell"/>
          <w:color w:val="000000"/>
          <w:szCs w:val="24"/>
        </w:rPr>
        <w:t xml:space="preserve"> study method </w:t>
      </w:r>
      <w:r w:rsidRPr="004B6866">
        <w:rPr>
          <w:rFonts w:ascii="Rockwell" w:hAnsi="Rockwell"/>
          <w:color w:val="000000"/>
          <w:szCs w:val="24"/>
        </w:rPr>
        <w:t>used to</w:t>
      </w:r>
      <w:r w:rsidR="006C200D" w:rsidRPr="004B6866">
        <w:rPr>
          <w:rFonts w:ascii="Rockwell" w:hAnsi="Rockwell"/>
          <w:color w:val="000000"/>
          <w:szCs w:val="24"/>
        </w:rPr>
        <w:t xml:space="preserve"> establish the baseline levels for each </w:t>
      </w:r>
      <w:r w:rsidRPr="004B6866">
        <w:rPr>
          <w:rFonts w:ascii="Rockwell" w:hAnsi="Rockwell"/>
          <w:color w:val="000000"/>
          <w:szCs w:val="24"/>
        </w:rPr>
        <w:t>indicator</w:t>
      </w:r>
      <w:r w:rsidR="006C200D" w:rsidRPr="004B6866">
        <w:rPr>
          <w:rFonts w:ascii="Rockwell" w:hAnsi="Rockwell"/>
          <w:color w:val="000000"/>
          <w:szCs w:val="24"/>
        </w:rPr>
        <w:t xml:space="preserve">. </w:t>
      </w:r>
    </w:p>
    <w:p w:rsidR="006C200D" w:rsidRPr="004B6866" w:rsidRDefault="00AF44CC" w:rsidP="006C200D">
      <w:pPr>
        <w:pStyle w:val="ListParagraph"/>
        <w:numPr>
          <w:ilvl w:val="0"/>
          <w:numId w:val="3"/>
        </w:numPr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 xml:space="preserve">The baseline levels determined </w:t>
      </w:r>
      <w:r w:rsidR="006C200D" w:rsidRPr="004B6866">
        <w:rPr>
          <w:rFonts w:ascii="Rockwell" w:hAnsi="Rockwell"/>
          <w:color w:val="000000"/>
          <w:szCs w:val="24"/>
        </w:rPr>
        <w:t>for each outcome and output.</w:t>
      </w:r>
    </w:p>
    <w:p w:rsidR="006C200D" w:rsidRPr="004B6866" w:rsidRDefault="006C200D" w:rsidP="006C200D">
      <w:pPr>
        <w:pStyle w:val="ListParagraph"/>
        <w:ind w:left="1080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 xml:space="preserve"> </w:t>
      </w:r>
    </w:p>
    <w:p w:rsidR="006C200D" w:rsidRPr="004B6866" w:rsidRDefault="00AF44CC" w:rsidP="00775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>Explanations/discussions/notes on the output and outcome baseline levels.</w:t>
      </w:r>
    </w:p>
    <w:p w:rsidR="00AF44CC" w:rsidRPr="004B6866" w:rsidRDefault="00AF44CC" w:rsidP="00AF44CC">
      <w:pPr>
        <w:pStyle w:val="ListParagraph"/>
        <w:rPr>
          <w:rFonts w:ascii="Rockwell" w:hAnsi="Rockwell"/>
          <w:color w:val="000000"/>
          <w:szCs w:val="24"/>
        </w:rPr>
      </w:pPr>
    </w:p>
    <w:p w:rsidR="00AF44CC" w:rsidRPr="004B6866" w:rsidRDefault="00AF44CC" w:rsidP="00AF44CC">
      <w:p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</w:p>
    <w:p w:rsidR="00775ABF" w:rsidRPr="004B6866" w:rsidRDefault="006C200D" w:rsidP="006C200D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Rockwell" w:hAnsi="Rockwell"/>
          <w:color w:val="000000"/>
          <w:szCs w:val="24"/>
        </w:rPr>
      </w:pPr>
      <w:r w:rsidRPr="004B6866">
        <w:rPr>
          <w:rFonts w:ascii="Rockwell" w:hAnsi="Rockwell"/>
          <w:color w:val="000000"/>
          <w:szCs w:val="24"/>
        </w:rPr>
        <w:t xml:space="preserve"> </w:t>
      </w:r>
    </w:p>
    <w:p w:rsidR="00036309" w:rsidRPr="004B6866" w:rsidRDefault="000F2A6C">
      <w:pPr>
        <w:rPr>
          <w:rFonts w:ascii="Rockwell" w:hAnsi="Rockwell"/>
        </w:rPr>
      </w:pPr>
    </w:p>
    <w:sectPr w:rsidR="00036309" w:rsidRPr="004B68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6C" w:rsidRDefault="000F2A6C" w:rsidP="004B6866">
      <w:pPr>
        <w:spacing w:after="0" w:line="240" w:lineRule="auto"/>
      </w:pPr>
      <w:r>
        <w:separator/>
      </w:r>
    </w:p>
  </w:endnote>
  <w:endnote w:type="continuationSeparator" w:id="0">
    <w:p w:rsidR="000F2A6C" w:rsidRDefault="000F2A6C" w:rsidP="004B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8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66" w:rsidRDefault="004B6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866" w:rsidRDefault="004B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6C" w:rsidRDefault="000F2A6C" w:rsidP="004B6866">
      <w:pPr>
        <w:spacing w:after="0" w:line="240" w:lineRule="auto"/>
      </w:pPr>
      <w:r>
        <w:separator/>
      </w:r>
    </w:p>
  </w:footnote>
  <w:footnote w:type="continuationSeparator" w:id="0">
    <w:p w:rsidR="000F2A6C" w:rsidRDefault="000F2A6C" w:rsidP="004B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98C"/>
    <w:multiLevelType w:val="hybridMultilevel"/>
    <w:tmpl w:val="91200A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B0F12"/>
    <w:multiLevelType w:val="hybridMultilevel"/>
    <w:tmpl w:val="4172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7E4"/>
    <w:multiLevelType w:val="multilevel"/>
    <w:tmpl w:val="2F820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B7"/>
    <w:rsid w:val="000F2A6C"/>
    <w:rsid w:val="00292D43"/>
    <w:rsid w:val="002D322F"/>
    <w:rsid w:val="00462111"/>
    <w:rsid w:val="004B6866"/>
    <w:rsid w:val="00680AA5"/>
    <w:rsid w:val="006C200D"/>
    <w:rsid w:val="006E7AB7"/>
    <w:rsid w:val="00775ABF"/>
    <w:rsid w:val="00783E74"/>
    <w:rsid w:val="008E0CF6"/>
    <w:rsid w:val="0093596C"/>
    <w:rsid w:val="00A04672"/>
    <w:rsid w:val="00AF44CC"/>
    <w:rsid w:val="00D272DD"/>
    <w:rsid w:val="00D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7"/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E7AB7"/>
    <w:pPr>
      <w:keepNext/>
      <w:numPr>
        <w:numId w:val="1"/>
      </w:numPr>
      <w:spacing w:before="240" w:after="240" w:line="240" w:lineRule="auto"/>
      <w:outlineLvl w:val="0"/>
    </w:pPr>
    <w:rPr>
      <w:rFonts w:ascii="Rockwell" w:eastAsia="Times New Roman" w:hAnsi="Rockwel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7A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Rockwell" w:eastAsia="Times New Roman" w:hAnsi="Rockwell"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E7AB7"/>
    <w:pPr>
      <w:keepNext/>
      <w:numPr>
        <w:ilvl w:val="2"/>
        <w:numId w:val="1"/>
      </w:numPr>
      <w:tabs>
        <w:tab w:val="left" w:pos="6096"/>
      </w:tabs>
      <w:spacing w:before="120" w:after="120" w:line="240" w:lineRule="auto"/>
      <w:jc w:val="both"/>
      <w:outlineLvl w:val="2"/>
    </w:pPr>
    <w:rPr>
      <w:rFonts w:ascii="Rockwell" w:eastAsia="Times New Roman" w:hAnsi="Rockwel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A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A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A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A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B7"/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7AB7"/>
    <w:rPr>
      <w:rFonts w:ascii="Rockwell" w:eastAsia="Times New Roman" w:hAnsi="Rockwel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AB7"/>
    <w:rPr>
      <w:rFonts w:ascii="Rockwell" w:eastAsia="Times New Roman" w:hAnsi="Rockwell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AB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A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AB7"/>
    <w:rPr>
      <w:rFonts w:ascii="Times New Roman" w:eastAsia="Calibri" w:hAnsi="Times New Roman" w:cs="Times New Roman"/>
      <w:b/>
      <w:bCs/>
      <w:i/>
      <w:iCs/>
      <w:color w:val="4F81BD" w:themeColor="accent1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E7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6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66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66"/>
    <w:rPr>
      <w:rFonts w:ascii="Times New Roman" w:eastAsia="Calibri" w:hAnsi="Times New Roman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7"/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E7AB7"/>
    <w:pPr>
      <w:keepNext/>
      <w:numPr>
        <w:numId w:val="1"/>
      </w:numPr>
      <w:spacing w:before="240" w:after="240" w:line="240" w:lineRule="auto"/>
      <w:outlineLvl w:val="0"/>
    </w:pPr>
    <w:rPr>
      <w:rFonts w:ascii="Rockwell" w:eastAsia="Times New Roman" w:hAnsi="Rockwel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7A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Rockwell" w:eastAsia="Times New Roman" w:hAnsi="Rockwell"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E7AB7"/>
    <w:pPr>
      <w:keepNext/>
      <w:numPr>
        <w:ilvl w:val="2"/>
        <w:numId w:val="1"/>
      </w:numPr>
      <w:tabs>
        <w:tab w:val="left" w:pos="6096"/>
      </w:tabs>
      <w:spacing w:before="120" w:after="120" w:line="240" w:lineRule="auto"/>
      <w:jc w:val="both"/>
      <w:outlineLvl w:val="2"/>
    </w:pPr>
    <w:rPr>
      <w:rFonts w:ascii="Rockwell" w:eastAsia="Times New Roman" w:hAnsi="Rockwel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A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A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A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A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B7"/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7AB7"/>
    <w:rPr>
      <w:rFonts w:ascii="Rockwell" w:eastAsia="Times New Roman" w:hAnsi="Rockwel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AB7"/>
    <w:rPr>
      <w:rFonts w:ascii="Rockwell" w:eastAsia="Times New Roman" w:hAnsi="Rockwell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AB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A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AB7"/>
    <w:rPr>
      <w:rFonts w:ascii="Times New Roman" w:eastAsia="Calibri" w:hAnsi="Times New Roman" w:cs="Times New Roman"/>
      <w:b/>
      <w:bCs/>
      <w:i/>
      <w:iCs/>
      <w:color w:val="4F81BD" w:themeColor="accent1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E7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6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66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66"/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Makau</dc:creator>
  <cp:lastModifiedBy>Sarah K. Muthoni</cp:lastModifiedBy>
  <cp:revision>2</cp:revision>
  <dcterms:created xsi:type="dcterms:W3CDTF">2016-08-19T09:11:00Z</dcterms:created>
  <dcterms:modified xsi:type="dcterms:W3CDTF">2016-08-19T09:11:00Z</dcterms:modified>
</cp:coreProperties>
</file>