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995" w:rsidRDefault="00CE5995">
      <w:pPr>
        <w:spacing w:line="360" w:lineRule="auto"/>
        <w:jc w:val="both"/>
        <w:rPr>
          <w:rFonts w:ascii="Rockwell" w:hAnsi="Rockwell" w:cs="Rockwell"/>
          <w:b/>
          <w:sz w:val="24"/>
          <w:szCs w:val="24"/>
        </w:rPr>
      </w:pPr>
      <w:bookmarkStart w:id="0" w:name="_GoBack"/>
      <w:bookmarkEnd w:id="0"/>
    </w:p>
    <w:p w:rsidR="00CE5995" w:rsidRDefault="00CE5995">
      <w:pPr>
        <w:spacing w:line="360" w:lineRule="auto"/>
        <w:jc w:val="both"/>
        <w:rPr>
          <w:rFonts w:ascii="Rockwell" w:hAnsi="Rockwell" w:cs="Rockwell"/>
          <w:b/>
          <w:sz w:val="24"/>
          <w:szCs w:val="24"/>
        </w:rPr>
      </w:pPr>
    </w:p>
    <w:p w:rsidR="00CE5995" w:rsidRDefault="00D37047">
      <w:pPr>
        <w:spacing w:line="360" w:lineRule="auto"/>
        <w:jc w:val="both"/>
        <w:rPr>
          <w:rFonts w:ascii="Rockwell" w:hAnsi="Rockwell" w:cs="Rockwell"/>
          <w:b/>
          <w:sz w:val="24"/>
          <w:szCs w:val="24"/>
        </w:rPr>
      </w:pPr>
      <w:r>
        <w:rPr>
          <w:rFonts w:ascii="Rockwell" w:hAnsi="Rockwell" w:cs="Rockwell"/>
          <w:b/>
          <w:sz w:val="24"/>
          <w:szCs w:val="24"/>
        </w:rPr>
        <w:t xml:space="preserve">NATIONAL </w:t>
      </w:r>
      <w:r w:rsidR="00313495">
        <w:rPr>
          <w:rFonts w:ascii="Rockwell" w:hAnsi="Rockwell" w:cs="Rockwell"/>
          <w:b/>
          <w:sz w:val="24"/>
          <w:szCs w:val="24"/>
        </w:rPr>
        <w:t>GUIDELINE</w:t>
      </w:r>
      <w:r>
        <w:rPr>
          <w:rFonts w:ascii="Rockwell" w:hAnsi="Rockwell" w:cs="Rockwell"/>
          <w:b/>
          <w:sz w:val="24"/>
          <w:szCs w:val="24"/>
        </w:rPr>
        <w:t xml:space="preserve"> ON </w:t>
      </w:r>
      <w:r>
        <w:rPr>
          <w:rFonts w:ascii="Rockwell" w:hAnsi="Rockwell" w:cs="Rockwell"/>
          <w:b/>
          <w:sz w:val="24"/>
          <w:szCs w:val="24"/>
          <w:lang w:val="en-GB"/>
        </w:rPr>
        <w:t xml:space="preserve">MINE SITE </w:t>
      </w:r>
      <w:r>
        <w:rPr>
          <w:rFonts w:ascii="Rockwell" w:hAnsi="Rockwell" w:cs="Rockwell"/>
          <w:b/>
          <w:sz w:val="24"/>
          <w:szCs w:val="24"/>
        </w:rPr>
        <w:t>DECOMMISSIONING AND REHABILITATION</w:t>
      </w:r>
    </w:p>
    <w:p w:rsidR="00CE5995" w:rsidRDefault="00CE5995">
      <w:pPr>
        <w:spacing w:line="360" w:lineRule="auto"/>
        <w:jc w:val="both"/>
        <w:rPr>
          <w:rFonts w:ascii="Rockwell" w:hAnsi="Rockwell" w:cs="Rockwell"/>
          <w:b/>
          <w:sz w:val="24"/>
          <w:szCs w:val="24"/>
        </w:rPr>
      </w:pPr>
    </w:p>
    <w:p w:rsidR="00CE5995" w:rsidRDefault="00C17EE4">
      <w:pPr>
        <w:spacing w:line="360" w:lineRule="auto"/>
        <w:jc w:val="both"/>
        <w:rPr>
          <w:rFonts w:ascii="Rockwell" w:hAnsi="Rockwell" w:cs="Rockwell"/>
          <w:b/>
          <w:sz w:val="24"/>
          <w:szCs w:val="24"/>
        </w:rPr>
      </w:pPr>
      <w:r>
        <w:rPr>
          <w:noProof/>
        </w:rPr>
        <w:drawing>
          <wp:inline distT="0" distB="0" distL="0" distR="0" wp14:anchorId="402FBC47" wp14:editId="7E4BC190">
            <wp:extent cx="6220047" cy="3943350"/>
            <wp:effectExtent l="0" t="0" r="9525" b="0"/>
            <wp:docPr id="61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3291" cy="3945407"/>
                    </a:xfrm>
                    <a:prstGeom prst="rect">
                      <a:avLst/>
                    </a:prstGeom>
                    <a:noFill/>
                    <a:ln>
                      <a:noFill/>
                    </a:ln>
                    <a:extLst/>
                  </pic:spPr>
                </pic:pic>
              </a:graphicData>
            </a:graphic>
          </wp:inline>
        </w:drawing>
      </w:r>
    </w:p>
    <w:p w:rsidR="00CE5995" w:rsidRDefault="00CE5995">
      <w:pPr>
        <w:spacing w:line="360" w:lineRule="auto"/>
        <w:jc w:val="both"/>
        <w:rPr>
          <w:rFonts w:ascii="Rockwell" w:hAnsi="Rockwell" w:cs="Rockwell"/>
          <w:b/>
          <w:sz w:val="24"/>
          <w:szCs w:val="24"/>
        </w:rPr>
      </w:pPr>
    </w:p>
    <w:p w:rsidR="00CE5995" w:rsidRDefault="00CE5995">
      <w:pPr>
        <w:spacing w:line="360" w:lineRule="auto"/>
        <w:jc w:val="both"/>
        <w:rPr>
          <w:rFonts w:ascii="Rockwell" w:hAnsi="Rockwell" w:cs="Rockwell"/>
          <w:b/>
          <w:sz w:val="24"/>
          <w:szCs w:val="24"/>
        </w:rPr>
      </w:pPr>
    </w:p>
    <w:p w:rsidR="00C17EE4" w:rsidRDefault="00C17EE4">
      <w:pPr>
        <w:spacing w:line="360" w:lineRule="auto"/>
        <w:jc w:val="both"/>
        <w:rPr>
          <w:rFonts w:ascii="Rockwell" w:hAnsi="Rockwell" w:cs="Rockwell"/>
          <w:b/>
          <w:sz w:val="24"/>
          <w:szCs w:val="24"/>
        </w:rPr>
      </w:pPr>
    </w:p>
    <w:p w:rsidR="00C17EE4" w:rsidRDefault="00C17EE4">
      <w:pPr>
        <w:spacing w:line="360" w:lineRule="auto"/>
        <w:jc w:val="both"/>
        <w:rPr>
          <w:rFonts w:ascii="Rockwell" w:hAnsi="Rockwell" w:cs="Rockwell"/>
          <w:b/>
          <w:sz w:val="24"/>
          <w:szCs w:val="24"/>
        </w:rPr>
      </w:pPr>
    </w:p>
    <w:p w:rsidR="00CE5995" w:rsidRDefault="00BC6616">
      <w:pPr>
        <w:spacing w:line="360" w:lineRule="auto"/>
        <w:jc w:val="both"/>
        <w:rPr>
          <w:rFonts w:ascii="Rockwell" w:hAnsi="Rockwell" w:cs="Rockwell"/>
          <w:b/>
          <w:sz w:val="24"/>
          <w:szCs w:val="24"/>
        </w:rPr>
      </w:pPr>
      <w:r>
        <w:rPr>
          <w:rFonts w:ascii="Rockwell" w:hAnsi="Rockwell" w:cs="Rockwell"/>
          <w:b/>
          <w:noProof/>
          <w:sz w:val="24"/>
          <w:szCs w:val="24"/>
        </w:rPr>
        <w:drawing>
          <wp:anchor distT="0" distB="0" distL="114300" distR="114300" simplePos="0" relativeHeight="251772928" behindDoc="0" locked="0" layoutInCell="1" allowOverlap="1" wp14:anchorId="70DE51CE" wp14:editId="1BF5478C">
            <wp:simplePos x="0" y="0"/>
            <wp:positionH relativeFrom="column">
              <wp:posOffset>4559300</wp:posOffset>
            </wp:positionH>
            <wp:positionV relativeFrom="paragraph">
              <wp:posOffset>49530</wp:posOffset>
            </wp:positionV>
            <wp:extent cx="911860" cy="1052195"/>
            <wp:effectExtent l="0" t="0" r="2540" b="14605"/>
            <wp:wrapTight wrapText="bothSides">
              <wp:wrapPolygon edited="0">
                <wp:start x="0" y="0"/>
                <wp:lineTo x="0" y="21118"/>
                <wp:lineTo x="21209" y="21118"/>
                <wp:lineTo x="21209" y="0"/>
                <wp:lineTo x="0" y="0"/>
              </wp:wrapPolygon>
            </wp:wrapTight>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
                    <pic:cNvPicPr>
                      <a:picLocks noChangeAspect="1"/>
                    </pic:cNvPicPr>
                  </pic:nvPicPr>
                  <pic:blipFill>
                    <a:blip r:embed="rId9"/>
                    <a:stretch>
                      <a:fillRect/>
                    </a:stretch>
                  </pic:blipFill>
                  <pic:spPr>
                    <a:xfrm>
                      <a:off x="0" y="0"/>
                      <a:ext cx="911860" cy="1052195"/>
                    </a:xfrm>
                    <a:prstGeom prst="rect">
                      <a:avLst/>
                    </a:prstGeom>
                    <a:noFill/>
                    <a:ln>
                      <a:noFill/>
                    </a:ln>
                  </pic:spPr>
                </pic:pic>
              </a:graphicData>
            </a:graphic>
          </wp:anchor>
        </w:drawing>
      </w:r>
      <w:r w:rsidR="00D37047">
        <w:rPr>
          <w:rFonts w:ascii="Rockwell" w:hAnsi="Rockwell" w:cs="Rockwell"/>
          <w:noProof/>
          <w:sz w:val="24"/>
          <w:szCs w:val="24"/>
        </w:rPr>
        <mc:AlternateContent>
          <mc:Choice Requires="wps">
            <w:drawing>
              <wp:anchor distT="0" distB="0" distL="114300" distR="114300" simplePos="0" relativeHeight="251800576" behindDoc="0" locked="0" layoutInCell="1" allowOverlap="1" wp14:anchorId="1F61E7D8" wp14:editId="0A080617">
                <wp:simplePos x="0" y="0"/>
                <wp:positionH relativeFrom="column">
                  <wp:posOffset>5171440</wp:posOffset>
                </wp:positionH>
                <wp:positionV relativeFrom="paragraph">
                  <wp:posOffset>1492885</wp:posOffset>
                </wp:positionV>
                <wp:extent cx="153035" cy="209550"/>
                <wp:effectExtent l="0" t="0" r="18415" b="0"/>
                <wp:wrapNone/>
                <wp:docPr id="3" name="Text Box 3"/>
                <wp:cNvGraphicFramePr/>
                <a:graphic xmlns:a="http://schemas.openxmlformats.org/drawingml/2006/main">
                  <a:graphicData uri="http://schemas.microsoft.com/office/word/2010/wordprocessingShape">
                    <wps:wsp>
                      <wps:cNvSpPr txBox="1"/>
                      <wps:spPr>
                        <a:xfrm>
                          <a:off x="6316345" y="10079355"/>
                          <a:ext cx="15303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C6616" w:rsidRDefault="00BC6616"/>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type w14:anchorId="1F61E7D8" id="_x0000_t202" coordsize="21600,21600" o:spt="202" path="m,l,21600r21600,l21600,xe">
                <v:stroke joinstyle="miter"/>
                <v:path gradientshapeok="t" o:connecttype="rect"/>
              </v:shapetype>
              <v:shape id="Text Box 3" o:spid="_x0000_s1026" type="#_x0000_t202" style="position:absolute;left:0;text-align:left;margin-left:407.2pt;margin-top:117.55pt;width:12.05pt;height:16.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" fillcolor="white [3201]" stroked="f" strokeweight=".5pt">
                <v:textbox style="layout-flow:vertical-ideographic">
                  <w:txbxContent>
                    <w:p w:rsidR="00BC6616" w:rsidRDefault="00BC6616"/>
                  </w:txbxContent>
                </v:textbox>
              </v:shape>
            </w:pict>
          </mc:Fallback>
        </mc:AlternateContent>
      </w:r>
      <w:r w:rsidR="00D37047">
        <w:rPr>
          <w:rFonts w:ascii="Rockwell" w:hAnsi="Rockwell" w:cs="Rockwell"/>
          <w:noProof/>
          <w:sz w:val="24"/>
          <w:szCs w:val="24"/>
        </w:rPr>
        <w:drawing>
          <wp:inline distT="0" distB="0" distL="0" distR="0" wp14:anchorId="2BC67524" wp14:editId="7788B127">
            <wp:extent cx="1021080" cy="1013460"/>
            <wp:effectExtent l="0" t="0" r="762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21080" cy="1013460"/>
                    </a:xfrm>
                    <a:prstGeom prst="rect">
                      <a:avLst/>
                    </a:prstGeom>
                    <a:noFill/>
                  </pic:spPr>
                </pic:pic>
              </a:graphicData>
            </a:graphic>
          </wp:inline>
        </w:drawing>
      </w:r>
      <w:r>
        <w:rPr>
          <w:rFonts w:ascii="Rockwell" w:hAnsi="Rockwell" w:cs="Rockwell"/>
          <w:sz w:val="24"/>
          <w:szCs w:val="24"/>
          <w:lang w:eastAsia="en-GB"/>
        </w:rPr>
        <w:t xml:space="preserve">       </w:t>
      </w:r>
      <w:r w:rsidR="00D37047">
        <w:rPr>
          <w:rFonts w:ascii="Rockwell" w:hAnsi="Rockwell" w:cs="Rockwell"/>
          <w:sz w:val="24"/>
          <w:szCs w:val="24"/>
          <w:lang w:eastAsia="en-GB"/>
        </w:rPr>
        <w:t xml:space="preserve"> </w:t>
      </w:r>
      <w:r w:rsidR="00D37047">
        <w:rPr>
          <w:rFonts w:ascii="Rockwell" w:hAnsi="Rockwell" w:cs="Rockwell"/>
          <w:noProof/>
          <w:sz w:val="24"/>
          <w:szCs w:val="24"/>
        </w:rPr>
        <w:drawing>
          <wp:inline distT="0" distB="0" distL="0" distR="0" wp14:anchorId="52012585" wp14:editId="11093F01">
            <wp:extent cx="1764030" cy="1067435"/>
            <wp:effectExtent l="0" t="0" r="762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64030" cy="1067435"/>
                    </a:xfrm>
                    <a:prstGeom prst="rect">
                      <a:avLst/>
                    </a:prstGeom>
                    <a:noFill/>
                  </pic:spPr>
                </pic:pic>
              </a:graphicData>
            </a:graphic>
          </wp:inline>
        </w:drawing>
      </w:r>
      <w:r w:rsidR="00D37047">
        <w:rPr>
          <w:rFonts w:ascii="Rockwell" w:hAnsi="Rockwell" w:cs="Rockwell"/>
          <w:noProof/>
          <w:sz w:val="24"/>
          <w:szCs w:val="24"/>
        </w:rPr>
        <w:drawing>
          <wp:inline distT="0" distB="0" distL="0" distR="0" wp14:anchorId="2AC2BB1E" wp14:editId="0B9138C1">
            <wp:extent cx="1007745" cy="1036955"/>
            <wp:effectExtent l="0" t="0" r="190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07745" cy="1036955"/>
                    </a:xfrm>
                    <a:prstGeom prst="rect">
                      <a:avLst/>
                    </a:prstGeom>
                    <a:noFill/>
                  </pic:spPr>
                </pic:pic>
              </a:graphicData>
            </a:graphic>
          </wp:inline>
        </w:drawing>
      </w:r>
      <w:r>
        <w:rPr>
          <w:rFonts w:ascii="Rockwell" w:hAnsi="Rockwell" w:cs="Rockwell"/>
          <w:sz w:val="24"/>
          <w:szCs w:val="24"/>
          <w:lang w:eastAsia="en-GB"/>
        </w:rPr>
        <w:t xml:space="preserve">               </w:t>
      </w:r>
    </w:p>
    <w:p w:rsidR="00CE5995" w:rsidRDefault="00D37047">
      <w:pPr>
        <w:pStyle w:val="Heading1"/>
        <w:spacing w:line="360" w:lineRule="auto"/>
        <w:jc w:val="both"/>
        <w:rPr>
          <w:rFonts w:ascii="Rockwell" w:hAnsi="Rockwell" w:cs="Rockwell"/>
          <w:color w:val="auto"/>
          <w:sz w:val="24"/>
          <w:szCs w:val="24"/>
        </w:rPr>
      </w:pPr>
      <w:bookmarkStart w:id="1" w:name="_Toc425690"/>
      <w:bookmarkStart w:id="2" w:name="_Toc6983"/>
      <w:bookmarkStart w:id="3" w:name="_Toc18509"/>
      <w:bookmarkStart w:id="4" w:name="_Toc27479"/>
      <w:r>
        <w:rPr>
          <w:rFonts w:ascii="Rockwell" w:hAnsi="Rockwell" w:cs="Rockwell"/>
          <w:b/>
          <w:color w:val="auto"/>
          <w:sz w:val="24"/>
          <w:szCs w:val="24"/>
        </w:rPr>
        <w:lastRenderedPageBreak/>
        <w:t>FOREWORD</w:t>
      </w:r>
      <w:bookmarkEnd w:id="1"/>
      <w:bookmarkEnd w:id="2"/>
      <w:bookmarkEnd w:id="3"/>
      <w:bookmarkEnd w:id="4"/>
      <w:r>
        <w:rPr>
          <w:rFonts w:ascii="Rockwell" w:hAnsi="Rockwell" w:cs="Rockwell"/>
          <w:color w:val="auto"/>
          <w:sz w:val="24"/>
          <w:szCs w:val="24"/>
        </w:rPr>
        <w:t xml:space="preserve"> </w:t>
      </w:r>
    </w:p>
    <w:p w:rsidR="00CE5995" w:rsidRDefault="00CE5995">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The National Environment Management Authority (NEMA) in consultation with the relevant stakeholders in pursuant to section 9 (n) of EMCA, 1999 has developed the mine site closure, decommissioning and rehabilitation </w:t>
      </w:r>
      <w:r w:rsidR="00313495">
        <w:rPr>
          <w:rFonts w:ascii="Rockwell" w:hAnsi="Rockwell" w:cs="Rockwell"/>
          <w:sz w:val="24"/>
          <w:szCs w:val="24"/>
        </w:rPr>
        <w:t>Guideline</w:t>
      </w:r>
      <w:r>
        <w:rPr>
          <w:rFonts w:ascii="Rockwell" w:hAnsi="Rockwell" w:cs="Rockwell"/>
          <w:sz w:val="24"/>
          <w:szCs w:val="24"/>
        </w:rPr>
        <w:t>.</w:t>
      </w:r>
    </w:p>
    <w:p w:rsidR="00CE5995" w:rsidRDefault="00CE5995">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Planning for mine site closure, decommissioning and rehabilitation is a critical component of environmental management in the mining sector.  Globally as evidenced by best practical approaches, planning for mine site closure should be done during the planning and design phase of the particular mining activity and sustained throughout the life time of the mine. This approach will ensure that the costly rehabilitation and remediation works at the end of a mine life is not incurred thus less financial burden to the mine operator, the government and the local community and the relevant stakeholders.</w:t>
      </w:r>
    </w:p>
    <w:p w:rsidR="00CE5995" w:rsidRDefault="00CE5995">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Several best practices have been borrowed from Australia and Sweden</w:t>
      </w:r>
      <w:r>
        <w:rPr>
          <w:rFonts w:ascii="Rockwell" w:hAnsi="Rockwell" w:cs="Rockwell"/>
          <w:sz w:val="24"/>
          <w:szCs w:val="24"/>
          <w:lang w:val="en-GB"/>
        </w:rPr>
        <w:t xml:space="preserve"> in the process of developing these </w:t>
      </w:r>
      <w:r w:rsidR="00313495">
        <w:rPr>
          <w:rFonts w:ascii="Rockwell" w:hAnsi="Rockwell" w:cs="Rockwell"/>
          <w:sz w:val="24"/>
          <w:szCs w:val="24"/>
          <w:lang w:val="en-GB"/>
        </w:rPr>
        <w:t>Guideline</w:t>
      </w:r>
      <w:r>
        <w:rPr>
          <w:rFonts w:ascii="Rockwell" w:hAnsi="Rockwell" w:cs="Rockwell"/>
          <w:sz w:val="24"/>
          <w:szCs w:val="24"/>
          <w:lang w:val="en-GB"/>
        </w:rPr>
        <w:t xml:space="preserve">. </w:t>
      </w:r>
      <w:r>
        <w:rPr>
          <w:rFonts w:ascii="Rockwell" w:hAnsi="Rockwell" w:cs="Rockwell"/>
          <w:sz w:val="24"/>
          <w:szCs w:val="24"/>
        </w:rPr>
        <w:t xml:space="preserve">The objective of these </w:t>
      </w:r>
      <w:r w:rsidR="00313495">
        <w:rPr>
          <w:rFonts w:ascii="Rockwell" w:hAnsi="Rockwell" w:cs="Rockwell"/>
          <w:sz w:val="24"/>
          <w:szCs w:val="24"/>
        </w:rPr>
        <w:t>Guideline</w:t>
      </w:r>
      <w:r>
        <w:rPr>
          <w:rFonts w:ascii="Rockwell" w:hAnsi="Rockwell" w:cs="Rockwell"/>
          <w:sz w:val="24"/>
          <w:szCs w:val="24"/>
        </w:rPr>
        <w:t xml:space="preserve"> is to ensure that, any mine site in Kenya is decommissioned, rehabilitated and closed in a well-planned process that ensures ecological sustainability and protection of the human health. </w:t>
      </w:r>
    </w:p>
    <w:p w:rsidR="00CE5995" w:rsidRDefault="00CE5995">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Therefore, it is envisaged that all the relevant stakeholders in the mining sector (including government agencies, the private sector, the civil society and the general public) will adopt, adhere to and implement these </w:t>
      </w:r>
      <w:r w:rsidR="00313495">
        <w:rPr>
          <w:rFonts w:ascii="Rockwell" w:hAnsi="Rockwell" w:cs="Rockwell"/>
          <w:sz w:val="24"/>
          <w:szCs w:val="24"/>
        </w:rPr>
        <w:t>Guideline</w:t>
      </w:r>
      <w:r>
        <w:rPr>
          <w:rFonts w:ascii="Rockwell" w:hAnsi="Rockwell" w:cs="Rockwell"/>
          <w:sz w:val="24"/>
          <w:szCs w:val="24"/>
        </w:rPr>
        <w:t>.</w:t>
      </w:r>
    </w:p>
    <w:p w:rsidR="00CE5995" w:rsidRDefault="00CE5995">
      <w:pPr>
        <w:spacing w:line="360" w:lineRule="auto"/>
        <w:jc w:val="both"/>
        <w:rPr>
          <w:rFonts w:ascii="Rockwell" w:hAnsi="Rockwell" w:cs="Rockwell"/>
          <w:sz w:val="24"/>
          <w:szCs w:val="24"/>
        </w:rPr>
      </w:pPr>
    </w:p>
    <w:p w:rsidR="00CE5995" w:rsidRDefault="00CE5995">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b/>
          <w:bCs/>
          <w:sz w:val="24"/>
          <w:szCs w:val="24"/>
        </w:rPr>
      </w:pPr>
      <w:r>
        <w:rPr>
          <w:rFonts w:ascii="Rockwell" w:hAnsi="Rockwell" w:cs="Rockwell"/>
          <w:b/>
          <w:bCs/>
          <w:sz w:val="24"/>
          <w:szCs w:val="24"/>
        </w:rPr>
        <w:t>Chairman</w:t>
      </w:r>
    </w:p>
    <w:p w:rsidR="00CE5995" w:rsidRDefault="00D37047">
      <w:pPr>
        <w:spacing w:line="360" w:lineRule="auto"/>
        <w:jc w:val="both"/>
        <w:rPr>
          <w:rFonts w:ascii="Rockwell" w:hAnsi="Rockwell" w:cs="Rockwell"/>
          <w:b/>
          <w:bCs/>
          <w:sz w:val="24"/>
          <w:szCs w:val="24"/>
        </w:rPr>
      </w:pPr>
      <w:r>
        <w:rPr>
          <w:rFonts w:ascii="Rockwell" w:hAnsi="Rockwell" w:cs="Rockwell"/>
          <w:b/>
          <w:bCs/>
          <w:sz w:val="24"/>
          <w:szCs w:val="24"/>
        </w:rPr>
        <w:t>NEMA Board of Management</w:t>
      </w:r>
    </w:p>
    <w:p w:rsidR="00CE5995" w:rsidRDefault="00CE5995">
      <w:pPr>
        <w:spacing w:line="360" w:lineRule="auto"/>
        <w:jc w:val="both"/>
        <w:rPr>
          <w:rFonts w:ascii="Rockwell" w:hAnsi="Rockwell" w:cs="Rockwell"/>
          <w:sz w:val="24"/>
          <w:szCs w:val="24"/>
        </w:rPr>
      </w:pPr>
      <w:bookmarkStart w:id="5" w:name="_Toc425691"/>
    </w:p>
    <w:p w:rsidR="00CE5995" w:rsidRDefault="00D37047">
      <w:pPr>
        <w:pStyle w:val="Heading1"/>
        <w:jc w:val="both"/>
        <w:rPr>
          <w:rFonts w:ascii="Rockwell" w:hAnsi="Rockwell" w:cs="Rockwell"/>
          <w:b/>
          <w:color w:val="auto"/>
          <w:sz w:val="24"/>
          <w:szCs w:val="24"/>
        </w:rPr>
      </w:pPr>
      <w:bookmarkStart w:id="6" w:name="_Toc26027"/>
      <w:bookmarkStart w:id="7" w:name="_Toc23119"/>
      <w:bookmarkStart w:id="8" w:name="_Toc10965"/>
      <w:r>
        <w:rPr>
          <w:rFonts w:ascii="Rockwell" w:hAnsi="Rockwell" w:cs="Rockwell"/>
          <w:b/>
          <w:color w:val="auto"/>
          <w:sz w:val="24"/>
          <w:szCs w:val="24"/>
        </w:rPr>
        <w:lastRenderedPageBreak/>
        <w:t>ACKNOWLEDGMENTS</w:t>
      </w:r>
      <w:bookmarkEnd w:id="5"/>
      <w:bookmarkEnd w:id="6"/>
      <w:bookmarkEnd w:id="7"/>
      <w:bookmarkEnd w:id="8"/>
    </w:p>
    <w:p w:rsidR="00CE5995" w:rsidRDefault="00CE5995"/>
    <w:p w:rsidR="00CE5995" w:rsidRDefault="00D37047">
      <w:pPr>
        <w:jc w:val="both"/>
        <w:rPr>
          <w:rFonts w:ascii="Rockwell" w:hAnsi="Rockwell" w:cs="Rockwell"/>
          <w:sz w:val="24"/>
          <w:szCs w:val="24"/>
        </w:rPr>
      </w:pPr>
      <w:r>
        <w:rPr>
          <w:rFonts w:ascii="Rockwell" w:hAnsi="Rockwell" w:cs="Rockwell"/>
          <w:sz w:val="24"/>
          <w:szCs w:val="24"/>
        </w:rPr>
        <w:t xml:space="preserve">The process of preparing these </w:t>
      </w:r>
      <w:r w:rsidR="00313495">
        <w:rPr>
          <w:rFonts w:ascii="Rockwell" w:hAnsi="Rockwell" w:cs="Rockwell"/>
          <w:sz w:val="24"/>
          <w:szCs w:val="24"/>
        </w:rPr>
        <w:t>Guideline</w:t>
      </w:r>
      <w:r>
        <w:rPr>
          <w:rFonts w:ascii="Rockwell" w:hAnsi="Rockwell" w:cs="Rockwell"/>
          <w:sz w:val="24"/>
          <w:szCs w:val="24"/>
        </w:rPr>
        <w:t xml:space="preserve"> benefited immensely from the financial support from Swedish International Development Agency (SIDA) through the Swedish Environmental and Protection Agency (SEPA) and United Nations Development </w:t>
      </w:r>
      <w:proofErr w:type="spellStart"/>
      <w:r>
        <w:rPr>
          <w:rFonts w:ascii="Rockwell" w:hAnsi="Rockwell" w:cs="Rockwell"/>
          <w:sz w:val="24"/>
          <w:szCs w:val="24"/>
        </w:rPr>
        <w:t>Programmee</w:t>
      </w:r>
      <w:proofErr w:type="spellEnd"/>
      <w:r>
        <w:rPr>
          <w:rFonts w:ascii="Rockwell" w:hAnsi="Rockwell" w:cs="Rockwell"/>
          <w:sz w:val="24"/>
          <w:szCs w:val="24"/>
        </w:rPr>
        <w:t xml:space="preserve"> Kenya (UNDP). </w:t>
      </w:r>
    </w:p>
    <w:p w:rsidR="00CE5995" w:rsidRDefault="00CE5995">
      <w:pPr>
        <w:jc w:val="both"/>
        <w:rPr>
          <w:rFonts w:ascii="Rockwell" w:hAnsi="Rockwell" w:cs="Rockwell"/>
          <w:sz w:val="24"/>
          <w:szCs w:val="24"/>
        </w:rPr>
      </w:pPr>
    </w:p>
    <w:p w:rsidR="00CE5995" w:rsidRDefault="00D37047">
      <w:pPr>
        <w:jc w:val="both"/>
        <w:rPr>
          <w:rFonts w:ascii="Rockwell" w:hAnsi="Rockwell" w:cs="Rockwell"/>
          <w:sz w:val="24"/>
          <w:szCs w:val="24"/>
        </w:rPr>
      </w:pPr>
      <w:r>
        <w:rPr>
          <w:rFonts w:ascii="Rockwell" w:hAnsi="Rockwell" w:cs="Rockwell"/>
          <w:sz w:val="24"/>
          <w:szCs w:val="24"/>
        </w:rPr>
        <w:t xml:space="preserve">Many thanks to the Project Technical Committee  comprising of the following officers; Thomas </w:t>
      </w:r>
      <w:proofErr w:type="spellStart"/>
      <w:r>
        <w:rPr>
          <w:rFonts w:ascii="Rockwell" w:hAnsi="Rockwell" w:cs="Rockwell"/>
          <w:sz w:val="24"/>
          <w:szCs w:val="24"/>
        </w:rPr>
        <w:t>Kipngeny</w:t>
      </w:r>
      <w:proofErr w:type="spellEnd"/>
      <w:r>
        <w:rPr>
          <w:rFonts w:ascii="Rockwell" w:hAnsi="Rockwell" w:cs="Rockwell"/>
          <w:sz w:val="24"/>
          <w:szCs w:val="24"/>
        </w:rPr>
        <w:t xml:space="preserve"> from State Department for</w:t>
      </w:r>
      <w:r>
        <w:rPr>
          <w:rFonts w:ascii="Rockwell" w:hAnsi="Rockwell" w:cs="Rockwell"/>
          <w:sz w:val="24"/>
          <w:szCs w:val="24"/>
          <w:lang w:val="en-GB"/>
        </w:rPr>
        <w:t xml:space="preserve"> </w:t>
      </w:r>
      <w:r>
        <w:rPr>
          <w:rFonts w:ascii="Rockwell" w:hAnsi="Rockwell" w:cs="Rockwell"/>
          <w:sz w:val="24"/>
          <w:szCs w:val="24"/>
        </w:rPr>
        <w:t xml:space="preserve">Mining; Mary </w:t>
      </w:r>
      <w:proofErr w:type="spellStart"/>
      <w:r>
        <w:rPr>
          <w:rFonts w:ascii="Rockwell" w:hAnsi="Rockwell" w:cs="Rockwell"/>
          <w:sz w:val="24"/>
          <w:szCs w:val="24"/>
        </w:rPr>
        <w:t>Mwangi</w:t>
      </w:r>
      <w:proofErr w:type="spellEnd"/>
      <w:r>
        <w:rPr>
          <w:rFonts w:ascii="Rockwell" w:hAnsi="Rockwell" w:cs="Rockwell"/>
          <w:sz w:val="24"/>
          <w:szCs w:val="24"/>
        </w:rPr>
        <w:t xml:space="preserve"> from Directorate of Occupational Safety and Health Services (DOSHS); Stella </w:t>
      </w:r>
      <w:proofErr w:type="spellStart"/>
      <w:r>
        <w:rPr>
          <w:rFonts w:ascii="Rockwell" w:hAnsi="Rockwell" w:cs="Rockwell"/>
          <w:sz w:val="24"/>
          <w:szCs w:val="24"/>
        </w:rPr>
        <w:t>Wangechi</w:t>
      </w:r>
      <w:proofErr w:type="spellEnd"/>
      <w:r>
        <w:rPr>
          <w:rFonts w:ascii="Rockwell" w:hAnsi="Rockwell" w:cs="Rockwell"/>
          <w:sz w:val="24"/>
          <w:szCs w:val="24"/>
        </w:rPr>
        <w:t xml:space="preserve"> from Kenya National Commission on Human Rights (KNCHR); Brian </w:t>
      </w:r>
      <w:proofErr w:type="spellStart"/>
      <w:r>
        <w:rPr>
          <w:rFonts w:ascii="Rockwell" w:hAnsi="Rockwell" w:cs="Rockwell"/>
          <w:sz w:val="24"/>
          <w:szCs w:val="24"/>
        </w:rPr>
        <w:t>Muthoka</w:t>
      </w:r>
      <w:proofErr w:type="spellEnd"/>
      <w:r>
        <w:rPr>
          <w:rFonts w:ascii="Rockwell" w:hAnsi="Rockwell" w:cs="Rockwell"/>
          <w:sz w:val="24"/>
          <w:szCs w:val="24"/>
        </w:rPr>
        <w:t xml:space="preserve"> from Council of Governors (</w:t>
      </w:r>
      <w:proofErr w:type="spellStart"/>
      <w:r>
        <w:rPr>
          <w:rFonts w:ascii="Rockwell" w:hAnsi="Rockwell" w:cs="Rockwell"/>
          <w:sz w:val="24"/>
          <w:szCs w:val="24"/>
        </w:rPr>
        <w:t>CoG</w:t>
      </w:r>
      <w:proofErr w:type="spellEnd"/>
      <w:r>
        <w:rPr>
          <w:rFonts w:ascii="Rockwell" w:hAnsi="Rockwell" w:cs="Rockwell"/>
          <w:sz w:val="24"/>
          <w:szCs w:val="24"/>
        </w:rPr>
        <w:t>); Moses Njeru from Kenya Chamber of Mines (KCM)</w:t>
      </w:r>
      <w:r w:rsidR="001A6076">
        <w:rPr>
          <w:rFonts w:ascii="Rockwell" w:hAnsi="Rockwell" w:cs="Rockwell"/>
          <w:sz w:val="24"/>
          <w:szCs w:val="24"/>
        </w:rPr>
        <w:t>;</w:t>
      </w:r>
      <w:r>
        <w:rPr>
          <w:rFonts w:ascii="Rockwell" w:hAnsi="Rockwell" w:cs="Rockwell"/>
          <w:sz w:val="24"/>
          <w:szCs w:val="24"/>
        </w:rPr>
        <w:t xml:space="preserve"> Griffins </w:t>
      </w:r>
      <w:proofErr w:type="spellStart"/>
      <w:r>
        <w:rPr>
          <w:rFonts w:ascii="Rockwell" w:hAnsi="Rockwell" w:cs="Rockwell"/>
          <w:sz w:val="24"/>
          <w:szCs w:val="24"/>
        </w:rPr>
        <w:t>Ochieng</w:t>
      </w:r>
      <w:proofErr w:type="spellEnd"/>
      <w:r>
        <w:rPr>
          <w:rFonts w:ascii="Rockwell" w:hAnsi="Rockwell" w:cs="Rockwell"/>
          <w:sz w:val="24"/>
          <w:szCs w:val="24"/>
        </w:rPr>
        <w:t xml:space="preserve"> from Center for Environment, Justice and Development (CEJAD)</w:t>
      </w:r>
      <w:r w:rsidR="001A6076">
        <w:rPr>
          <w:rFonts w:ascii="Rockwell" w:hAnsi="Rockwell" w:cs="Rockwell"/>
          <w:sz w:val="24"/>
          <w:szCs w:val="24"/>
        </w:rPr>
        <w:t>;</w:t>
      </w:r>
      <w:r>
        <w:rPr>
          <w:rFonts w:ascii="Rockwell" w:hAnsi="Rockwell" w:cs="Rockwell"/>
          <w:sz w:val="24"/>
          <w:szCs w:val="24"/>
        </w:rPr>
        <w:t xml:space="preserve"> Geoffrey </w:t>
      </w:r>
      <w:proofErr w:type="spellStart"/>
      <w:r>
        <w:rPr>
          <w:rFonts w:ascii="Rockwell" w:hAnsi="Rockwell" w:cs="Rockwell"/>
          <w:sz w:val="24"/>
          <w:szCs w:val="24"/>
        </w:rPr>
        <w:t>Omedo</w:t>
      </w:r>
      <w:proofErr w:type="spellEnd"/>
      <w:r>
        <w:rPr>
          <w:rFonts w:ascii="Rockwell" w:hAnsi="Rockwell" w:cs="Rockwell"/>
          <w:sz w:val="24"/>
          <w:szCs w:val="24"/>
        </w:rPr>
        <w:t xml:space="preserve"> and W</w:t>
      </w:r>
      <w:r w:rsidR="001A6076">
        <w:rPr>
          <w:rFonts w:ascii="Rockwell" w:hAnsi="Rockwell" w:cs="Rockwell"/>
          <w:sz w:val="24"/>
          <w:szCs w:val="24"/>
        </w:rPr>
        <w:t xml:space="preserve">ashington </w:t>
      </w:r>
      <w:proofErr w:type="spellStart"/>
      <w:r w:rsidR="001A6076">
        <w:rPr>
          <w:rFonts w:ascii="Rockwell" w:hAnsi="Rockwell" w:cs="Rockwell"/>
          <w:sz w:val="24"/>
          <w:szCs w:val="24"/>
        </w:rPr>
        <w:t>Ayiemba</w:t>
      </w:r>
      <w:proofErr w:type="spellEnd"/>
      <w:r w:rsidR="001A6076">
        <w:rPr>
          <w:rFonts w:ascii="Rockwell" w:hAnsi="Rockwell" w:cs="Rockwell"/>
          <w:sz w:val="24"/>
          <w:szCs w:val="24"/>
        </w:rPr>
        <w:t xml:space="preserve"> from UNDP; </w:t>
      </w:r>
      <w:r>
        <w:rPr>
          <w:rFonts w:ascii="Rockwell" w:hAnsi="Rockwell" w:cs="Rockwell"/>
          <w:sz w:val="24"/>
          <w:szCs w:val="24"/>
        </w:rPr>
        <w:t xml:space="preserve">Zephaniah </w:t>
      </w:r>
      <w:proofErr w:type="spellStart"/>
      <w:r>
        <w:rPr>
          <w:rFonts w:ascii="Rockwell" w:hAnsi="Rockwell" w:cs="Rockwell"/>
          <w:sz w:val="24"/>
          <w:szCs w:val="24"/>
        </w:rPr>
        <w:t>Ouma</w:t>
      </w:r>
      <w:proofErr w:type="spellEnd"/>
      <w:r>
        <w:rPr>
          <w:rFonts w:ascii="Rockwell" w:hAnsi="Rockwell" w:cs="Rockwell"/>
          <w:sz w:val="24"/>
          <w:szCs w:val="24"/>
        </w:rPr>
        <w:t xml:space="preserve">, Oceanic </w:t>
      </w:r>
      <w:proofErr w:type="spellStart"/>
      <w:r>
        <w:rPr>
          <w:rFonts w:ascii="Rockwell" w:hAnsi="Rockwell" w:cs="Rockwell"/>
          <w:sz w:val="24"/>
          <w:szCs w:val="24"/>
        </w:rPr>
        <w:t>Sakwa</w:t>
      </w:r>
      <w:proofErr w:type="spellEnd"/>
      <w:r>
        <w:rPr>
          <w:rFonts w:ascii="Rockwell" w:hAnsi="Rockwell" w:cs="Rockwell"/>
          <w:sz w:val="24"/>
          <w:szCs w:val="24"/>
        </w:rPr>
        <w:t xml:space="preserve">, </w:t>
      </w:r>
      <w:proofErr w:type="spellStart"/>
      <w:r>
        <w:rPr>
          <w:rFonts w:ascii="Rockwell" w:hAnsi="Rockwell" w:cs="Rockwell"/>
          <w:sz w:val="24"/>
          <w:szCs w:val="24"/>
        </w:rPr>
        <w:t>Selelah</w:t>
      </w:r>
      <w:proofErr w:type="spellEnd"/>
      <w:r>
        <w:rPr>
          <w:rFonts w:ascii="Rockwell" w:hAnsi="Rockwell" w:cs="Rockwell"/>
          <w:sz w:val="24"/>
          <w:szCs w:val="24"/>
        </w:rPr>
        <w:t xml:space="preserve"> </w:t>
      </w:r>
      <w:proofErr w:type="spellStart"/>
      <w:r>
        <w:rPr>
          <w:rFonts w:ascii="Rockwell" w:hAnsi="Rockwell" w:cs="Rockwell"/>
          <w:sz w:val="24"/>
          <w:szCs w:val="24"/>
        </w:rPr>
        <w:t>Okoth</w:t>
      </w:r>
      <w:proofErr w:type="spellEnd"/>
      <w:r>
        <w:rPr>
          <w:rFonts w:ascii="Rockwell" w:hAnsi="Rockwell" w:cs="Rockwell"/>
          <w:sz w:val="24"/>
          <w:szCs w:val="24"/>
        </w:rPr>
        <w:t xml:space="preserve">, Maureen </w:t>
      </w:r>
      <w:proofErr w:type="spellStart"/>
      <w:r>
        <w:rPr>
          <w:rFonts w:ascii="Rockwell" w:hAnsi="Rockwell" w:cs="Rockwell"/>
          <w:sz w:val="24"/>
          <w:szCs w:val="24"/>
        </w:rPr>
        <w:t>Njeri</w:t>
      </w:r>
      <w:proofErr w:type="spellEnd"/>
      <w:r>
        <w:rPr>
          <w:rFonts w:ascii="Rockwell" w:hAnsi="Rockwell" w:cs="Rockwell"/>
          <w:sz w:val="24"/>
          <w:szCs w:val="24"/>
        </w:rPr>
        <w:t xml:space="preserve">, Edward </w:t>
      </w:r>
      <w:proofErr w:type="spellStart"/>
      <w:r>
        <w:rPr>
          <w:rFonts w:ascii="Rockwell" w:hAnsi="Rockwell" w:cs="Rockwell"/>
          <w:sz w:val="24"/>
          <w:szCs w:val="24"/>
        </w:rPr>
        <w:t>Wabwoto</w:t>
      </w:r>
      <w:proofErr w:type="spellEnd"/>
      <w:r>
        <w:rPr>
          <w:rFonts w:ascii="Rockwell" w:hAnsi="Rockwell" w:cs="Rockwell"/>
          <w:sz w:val="24"/>
          <w:szCs w:val="24"/>
        </w:rPr>
        <w:t xml:space="preserve">, Reagan </w:t>
      </w:r>
      <w:proofErr w:type="spellStart"/>
      <w:r>
        <w:rPr>
          <w:rFonts w:ascii="Rockwell" w:hAnsi="Rockwell" w:cs="Rockwell"/>
          <w:sz w:val="24"/>
          <w:szCs w:val="24"/>
        </w:rPr>
        <w:t>Awino</w:t>
      </w:r>
      <w:proofErr w:type="spellEnd"/>
      <w:r>
        <w:rPr>
          <w:rFonts w:ascii="Rockwell" w:hAnsi="Rockwell" w:cs="Rockwell"/>
          <w:sz w:val="24"/>
          <w:szCs w:val="24"/>
        </w:rPr>
        <w:t xml:space="preserve">, </w:t>
      </w:r>
      <w:proofErr w:type="spellStart"/>
      <w:r w:rsidR="00CD625E">
        <w:rPr>
          <w:rFonts w:ascii="Rockwell" w:hAnsi="Rockwell" w:cs="Rockwell"/>
          <w:sz w:val="24"/>
          <w:szCs w:val="24"/>
        </w:rPr>
        <w:t>Marcellah</w:t>
      </w:r>
      <w:proofErr w:type="spellEnd"/>
      <w:r w:rsidR="00CD625E">
        <w:rPr>
          <w:rFonts w:ascii="Rockwell" w:hAnsi="Rockwell" w:cs="Rockwell"/>
          <w:sz w:val="24"/>
          <w:szCs w:val="24"/>
        </w:rPr>
        <w:t xml:space="preserve"> </w:t>
      </w:r>
      <w:proofErr w:type="spellStart"/>
      <w:r w:rsidR="00CD625E">
        <w:rPr>
          <w:rFonts w:ascii="Rockwell" w:hAnsi="Rockwell" w:cs="Rockwell"/>
          <w:sz w:val="24"/>
          <w:szCs w:val="24"/>
        </w:rPr>
        <w:t>Ojiambo</w:t>
      </w:r>
      <w:proofErr w:type="spellEnd"/>
      <w:r w:rsidR="00CD625E">
        <w:rPr>
          <w:rFonts w:ascii="Rockwell" w:hAnsi="Rockwell" w:cs="Rockwell"/>
          <w:sz w:val="24"/>
          <w:szCs w:val="24"/>
        </w:rPr>
        <w:t xml:space="preserve">, </w:t>
      </w:r>
      <w:r>
        <w:rPr>
          <w:rFonts w:ascii="Rockwell" w:hAnsi="Rockwell" w:cs="Rockwell"/>
          <w:sz w:val="24"/>
          <w:szCs w:val="24"/>
        </w:rPr>
        <w:t xml:space="preserve">Lydia Ago and </w:t>
      </w:r>
      <w:proofErr w:type="spellStart"/>
      <w:r>
        <w:rPr>
          <w:rFonts w:ascii="Rockwell" w:hAnsi="Rockwell" w:cs="Rockwell"/>
          <w:sz w:val="24"/>
          <w:szCs w:val="24"/>
        </w:rPr>
        <w:t>Felister</w:t>
      </w:r>
      <w:proofErr w:type="spellEnd"/>
      <w:r>
        <w:rPr>
          <w:rFonts w:ascii="Rockwell" w:hAnsi="Rockwell" w:cs="Rockwell"/>
          <w:sz w:val="24"/>
          <w:szCs w:val="24"/>
        </w:rPr>
        <w:t xml:space="preserve"> </w:t>
      </w:r>
      <w:proofErr w:type="spellStart"/>
      <w:r>
        <w:rPr>
          <w:rFonts w:ascii="Rockwell" w:hAnsi="Rockwell" w:cs="Rockwell"/>
          <w:sz w:val="24"/>
          <w:szCs w:val="24"/>
        </w:rPr>
        <w:t>Njoki</w:t>
      </w:r>
      <w:proofErr w:type="spellEnd"/>
      <w:r>
        <w:rPr>
          <w:rFonts w:ascii="Rockwell" w:hAnsi="Rockwell" w:cs="Rockwell"/>
          <w:sz w:val="24"/>
          <w:szCs w:val="24"/>
        </w:rPr>
        <w:t xml:space="preserve"> all from the National Environment Management Authority (NEMA).</w:t>
      </w:r>
    </w:p>
    <w:p w:rsidR="00CE5995" w:rsidRDefault="00CE5995">
      <w:pPr>
        <w:jc w:val="both"/>
        <w:rPr>
          <w:rFonts w:ascii="Rockwell" w:hAnsi="Rockwell" w:cs="Rockwell"/>
          <w:sz w:val="24"/>
          <w:szCs w:val="24"/>
        </w:rPr>
      </w:pPr>
    </w:p>
    <w:p w:rsidR="00CE5995" w:rsidRDefault="00D37047">
      <w:pPr>
        <w:jc w:val="both"/>
        <w:rPr>
          <w:rFonts w:ascii="Rockwell" w:hAnsi="Rockwell" w:cs="Rockwell"/>
          <w:sz w:val="24"/>
          <w:szCs w:val="24"/>
        </w:rPr>
      </w:pPr>
      <w:r>
        <w:rPr>
          <w:rFonts w:ascii="Rockwell" w:hAnsi="Rockwell" w:cs="Rockwell"/>
          <w:sz w:val="24"/>
          <w:szCs w:val="24"/>
        </w:rPr>
        <w:t>NEMA Board of Management provided substantive guidance, advice and managerial assistance and support throughout the process.</w:t>
      </w:r>
      <w:r>
        <w:rPr>
          <w:rFonts w:ascii="Rockwell" w:hAnsi="Rockwell" w:cs="Rockwell"/>
          <w:sz w:val="24"/>
          <w:szCs w:val="24"/>
          <w:lang w:val="en-GB"/>
        </w:rPr>
        <w:t xml:space="preserve"> </w:t>
      </w:r>
      <w:r>
        <w:rPr>
          <w:rFonts w:ascii="Rockwell" w:hAnsi="Rockwell" w:cs="Rockwell"/>
          <w:sz w:val="24"/>
          <w:szCs w:val="24"/>
        </w:rPr>
        <w:t>It is my hope that the National</w:t>
      </w:r>
      <w:r w:rsidR="001A6076">
        <w:rPr>
          <w:rFonts w:ascii="Rockwell" w:hAnsi="Rockwell" w:cs="Rockwell"/>
          <w:sz w:val="24"/>
          <w:szCs w:val="24"/>
          <w:lang w:val="en-GB"/>
        </w:rPr>
        <w:t xml:space="preserve"> </w:t>
      </w:r>
      <w:r w:rsidR="00313495">
        <w:rPr>
          <w:rFonts w:ascii="Rockwell" w:hAnsi="Rockwell" w:cs="Rockwell"/>
          <w:sz w:val="24"/>
          <w:szCs w:val="24"/>
          <w:lang w:val="en-GB"/>
        </w:rPr>
        <w:t>Guideline</w:t>
      </w:r>
      <w:r>
        <w:rPr>
          <w:rFonts w:ascii="Rockwell" w:hAnsi="Rockwell" w:cs="Rockwell"/>
          <w:sz w:val="24"/>
          <w:szCs w:val="24"/>
        </w:rPr>
        <w:t xml:space="preserve"> on Mine Site </w:t>
      </w:r>
      <w:r>
        <w:rPr>
          <w:rFonts w:ascii="Rockwell" w:hAnsi="Rockwell" w:cs="Rockwell"/>
          <w:sz w:val="24"/>
          <w:szCs w:val="24"/>
          <w:lang w:val="en-GB"/>
        </w:rPr>
        <w:t>decommissioning and rehabilitation</w:t>
      </w:r>
      <w:r>
        <w:rPr>
          <w:rFonts w:ascii="Rockwell" w:hAnsi="Rockwell" w:cs="Rockwell"/>
          <w:sz w:val="24"/>
          <w:szCs w:val="24"/>
        </w:rPr>
        <w:t xml:space="preserve"> will provide viable and practical bottom up strategy</w:t>
      </w:r>
      <w:r>
        <w:rPr>
          <w:rFonts w:ascii="Rockwell" w:hAnsi="Rockwell" w:cs="Rockwell"/>
          <w:sz w:val="24"/>
          <w:szCs w:val="24"/>
          <w:lang w:val="en-GB"/>
        </w:rPr>
        <w:t xml:space="preserve">. This </w:t>
      </w:r>
      <w:r>
        <w:rPr>
          <w:rFonts w:ascii="Rockwell" w:hAnsi="Rockwell" w:cs="Rockwell"/>
          <w:sz w:val="24"/>
          <w:szCs w:val="24"/>
        </w:rPr>
        <w:t xml:space="preserve">will ensure that the process of mine closure is not cumbersome and painful for the </w:t>
      </w:r>
      <w:r>
        <w:rPr>
          <w:rFonts w:ascii="Rockwell" w:hAnsi="Rockwell" w:cs="Rockwell"/>
          <w:sz w:val="24"/>
          <w:szCs w:val="24"/>
          <w:lang w:val="en-GB"/>
        </w:rPr>
        <w:t>mine operators.</w:t>
      </w:r>
      <w:r>
        <w:rPr>
          <w:rFonts w:ascii="Rockwell" w:hAnsi="Rockwell" w:cs="Rockwell"/>
          <w:sz w:val="24"/>
          <w:szCs w:val="24"/>
        </w:rPr>
        <w:t xml:space="preserve"> I urge the policy makers, lead agencies, experts and the mining sector players to make good use of these </w:t>
      </w:r>
      <w:r w:rsidR="00313495">
        <w:rPr>
          <w:rFonts w:ascii="Rockwell" w:hAnsi="Rockwell" w:cs="Rockwell"/>
          <w:sz w:val="24"/>
          <w:szCs w:val="24"/>
          <w:lang w:val="en-GB"/>
        </w:rPr>
        <w:t>Guideline</w:t>
      </w:r>
      <w:r>
        <w:rPr>
          <w:rFonts w:ascii="Rockwell" w:hAnsi="Rockwell" w:cs="Rockwell"/>
          <w:sz w:val="24"/>
          <w:szCs w:val="24"/>
        </w:rPr>
        <w:t xml:space="preserve"> on mine Site </w:t>
      </w:r>
      <w:r>
        <w:rPr>
          <w:rFonts w:ascii="Rockwell" w:hAnsi="Rockwell" w:cs="Rockwell"/>
          <w:sz w:val="24"/>
          <w:szCs w:val="24"/>
          <w:lang w:val="en-GB"/>
        </w:rPr>
        <w:t>decommissioning and rehabilitation</w:t>
      </w:r>
      <w:r>
        <w:rPr>
          <w:rFonts w:ascii="Rockwell" w:hAnsi="Rockwell" w:cs="Rockwell"/>
          <w:sz w:val="24"/>
          <w:szCs w:val="24"/>
        </w:rPr>
        <w:t>.</w:t>
      </w:r>
    </w:p>
    <w:p w:rsidR="00CE5995" w:rsidRDefault="00CE5995">
      <w:pPr>
        <w:jc w:val="both"/>
        <w:rPr>
          <w:rFonts w:ascii="Rockwell" w:hAnsi="Rockwell" w:cs="Rockwell"/>
          <w:b/>
          <w:sz w:val="24"/>
          <w:szCs w:val="24"/>
        </w:rPr>
      </w:pPr>
    </w:p>
    <w:p w:rsidR="00CE5995" w:rsidRDefault="00D37047">
      <w:pPr>
        <w:jc w:val="both"/>
        <w:rPr>
          <w:rFonts w:ascii="Rockwell" w:hAnsi="Rockwell" w:cs="Rockwell"/>
          <w:b/>
          <w:sz w:val="24"/>
          <w:szCs w:val="24"/>
        </w:rPr>
      </w:pPr>
      <w:r>
        <w:rPr>
          <w:rFonts w:ascii="Rockwell" w:hAnsi="Rockwell" w:cs="Rockwell"/>
          <w:sz w:val="24"/>
          <w:szCs w:val="24"/>
        </w:rPr>
        <w:t xml:space="preserve">The </w:t>
      </w:r>
      <w:r>
        <w:rPr>
          <w:rFonts w:ascii="Rockwell" w:hAnsi="Rockwell" w:cs="Rockwell"/>
          <w:sz w:val="24"/>
          <w:szCs w:val="24"/>
          <w:lang w:val="en-GB"/>
        </w:rPr>
        <w:t xml:space="preserve">mine site decommissioning and rehabilitation </w:t>
      </w:r>
      <w:r w:rsidR="00313495">
        <w:rPr>
          <w:rFonts w:ascii="Rockwell" w:hAnsi="Rockwell" w:cs="Rockwell"/>
          <w:sz w:val="24"/>
          <w:szCs w:val="24"/>
          <w:lang w:val="en-GB"/>
        </w:rPr>
        <w:t>Guideline</w:t>
      </w:r>
      <w:r>
        <w:rPr>
          <w:rFonts w:ascii="Rockwell" w:hAnsi="Rockwell" w:cs="Rockwell"/>
          <w:sz w:val="24"/>
          <w:szCs w:val="24"/>
        </w:rPr>
        <w:t xml:space="preserve"> is a living document that will undergo review, development and continuous improvement, from time to time with focus on the emerging issues during mines site closure. The </w:t>
      </w:r>
      <w:r w:rsidR="00313495">
        <w:rPr>
          <w:rFonts w:ascii="Rockwell" w:hAnsi="Rockwell" w:cs="Rockwell"/>
          <w:sz w:val="24"/>
          <w:szCs w:val="24"/>
          <w:lang w:val="en-GB"/>
        </w:rPr>
        <w:t>Guideline</w:t>
      </w:r>
      <w:r>
        <w:rPr>
          <w:rFonts w:ascii="Rockwell" w:hAnsi="Rockwell" w:cs="Rockwell"/>
          <w:sz w:val="24"/>
          <w:szCs w:val="24"/>
          <w:lang w:val="en-GB"/>
        </w:rPr>
        <w:t xml:space="preserve"> is not meant to replace the various existing regulatory framework in the mining sector </w:t>
      </w:r>
      <w:r>
        <w:rPr>
          <w:rFonts w:ascii="Rockwell" w:hAnsi="Rockwell" w:cs="Rockwell"/>
          <w:sz w:val="24"/>
          <w:szCs w:val="24"/>
        </w:rPr>
        <w:t xml:space="preserve">and protection of the environment </w:t>
      </w:r>
      <w:r>
        <w:rPr>
          <w:rFonts w:ascii="Rockwell" w:hAnsi="Rockwell" w:cs="Rockwell"/>
          <w:sz w:val="24"/>
          <w:szCs w:val="24"/>
          <w:lang w:val="en-GB"/>
        </w:rPr>
        <w:t>but to enhance them for the better management of the environment.</w:t>
      </w:r>
    </w:p>
    <w:p w:rsidR="00CE5995" w:rsidRDefault="00CE5995">
      <w:pPr>
        <w:jc w:val="both"/>
        <w:rPr>
          <w:rFonts w:ascii="Rockwell" w:eastAsia="Times-Roman" w:hAnsi="Rockwell" w:cs="Rockwell"/>
          <w:b/>
          <w:bCs/>
          <w:sz w:val="24"/>
          <w:szCs w:val="24"/>
        </w:rPr>
      </w:pPr>
      <w:bookmarkStart w:id="9" w:name="_Toc19636"/>
    </w:p>
    <w:p w:rsidR="00CE5995" w:rsidRDefault="00CE5995">
      <w:pPr>
        <w:jc w:val="both"/>
        <w:rPr>
          <w:rFonts w:ascii="Rockwell" w:eastAsia="Times-Roman" w:hAnsi="Rockwell" w:cs="Rockwell"/>
          <w:b/>
          <w:bCs/>
          <w:sz w:val="24"/>
          <w:szCs w:val="24"/>
        </w:rPr>
      </w:pPr>
    </w:p>
    <w:p w:rsidR="00CE5995" w:rsidRDefault="00D37047">
      <w:pPr>
        <w:jc w:val="both"/>
        <w:rPr>
          <w:rFonts w:ascii="Rockwell" w:eastAsia="Times-Roman" w:hAnsi="Rockwell" w:cs="Rockwell"/>
          <w:b/>
          <w:bCs/>
          <w:sz w:val="24"/>
          <w:szCs w:val="24"/>
        </w:rPr>
      </w:pPr>
      <w:proofErr w:type="spellStart"/>
      <w:r>
        <w:rPr>
          <w:rFonts w:ascii="Rockwell" w:eastAsia="Times-Roman" w:hAnsi="Rockwell" w:cs="Rockwell"/>
          <w:b/>
          <w:bCs/>
          <w:sz w:val="24"/>
          <w:szCs w:val="24"/>
        </w:rPr>
        <w:t>Mamo</w:t>
      </w:r>
      <w:proofErr w:type="spellEnd"/>
      <w:r>
        <w:rPr>
          <w:rFonts w:ascii="Rockwell" w:eastAsia="Times-Roman" w:hAnsi="Rockwell" w:cs="Rockwell"/>
          <w:b/>
          <w:bCs/>
          <w:sz w:val="24"/>
          <w:szCs w:val="24"/>
        </w:rPr>
        <w:t xml:space="preserve"> B. </w:t>
      </w:r>
      <w:proofErr w:type="spellStart"/>
      <w:r>
        <w:rPr>
          <w:rFonts w:ascii="Rockwell" w:eastAsia="Times-Roman" w:hAnsi="Rockwell" w:cs="Rockwell"/>
          <w:b/>
          <w:bCs/>
          <w:sz w:val="24"/>
          <w:szCs w:val="24"/>
        </w:rPr>
        <w:t>Mamo</w:t>
      </w:r>
      <w:bookmarkEnd w:id="9"/>
      <w:proofErr w:type="spellEnd"/>
      <w:r w:rsidR="00E92032">
        <w:rPr>
          <w:rFonts w:ascii="Rockwell" w:eastAsia="Times-Roman" w:hAnsi="Rockwell" w:cs="Rockwell"/>
          <w:b/>
          <w:bCs/>
          <w:sz w:val="24"/>
          <w:szCs w:val="24"/>
        </w:rPr>
        <w:t>, EBS</w:t>
      </w:r>
    </w:p>
    <w:p w:rsidR="00CE5995" w:rsidRDefault="00D37047">
      <w:pPr>
        <w:jc w:val="both"/>
        <w:rPr>
          <w:rFonts w:ascii="Rockwell" w:eastAsia="Times-Roman" w:hAnsi="Rockwell" w:cs="Rockwell"/>
          <w:b/>
          <w:bCs/>
          <w:sz w:val="24"/>
          <w:szCs w:val="24"/>
          <w:lang w:val="en-GB"/>
        </w:rPr>
      </w:pPr>
      <w:bookmarkStart w:id="10" w:name="_Toc32427"/>
      <w:r>
        <w:rPr>
          <w:rFonts w:ascii="Rockwell" w:eastAsia="Times-Roman" w:hAnsi="Rockwell" w:cs="Rockwell"/>
          <w:b/>
          <w:bCs/>
          <w:sz w:val="24"/>
          <w:szCs w:val="24"/>
        </w:rPr>
        <w:t>Director General</w:t>
      </w:r>
      <w:bookmarkEnd w:id="10"/>
      <w:r>
        <w:rPr>
          <w:rFonts w:ascii="Rockwell" w:eastAsia="Times-Roman" w:hAnsi="Rockwell" w:cs="Rockwell"/>
          <w:b/>
          <w:bCs/>
          <w:sz w:val="24"/>
          <w:szCs w:val="24"/>
          <w:lang w:val="en-GB"/>
        </w:rPr>
        <w:t>,</w:t>
      </w:r>
      <w:bookmarkStart w:id="11" w:name="_Toc15229"/>
      <w:r>
        <w:rPr>
          <w:rFonts w:ascii="Rockwell" w:eastAsia="Times-Roman" w:hAnsi="Rockwell" w:cs="Rockwell"/>
          <w:b/>
          <w:bCs/>
          <w:sz w:val="24"/>
          <w:szCs w:val="24"/>
          <w:lang w:val="en-GB"/>
        </w:rPr>
        <w:t xml:space="preserve"> </w:t>
      </w:r>
    </w:p>
    <w:p w:rsidR="00CE5995" w:rsidRDefault="00D37047">
      <w:pPr>
        <w:jc w:val="both"/>
        <w:rPr>
          <w:rFonts w:ascii="Rockwell" w:eastAsia="Times-Roman" w:hAnsi="Rockwell" w:cs="Rockwell"/>
          <w:b/>
          <w:bCs/>
          <w:sz w:val="24"/>
          <w:szCs w:val="24"/>
        </w:rPr>
      </w:pPr>
      <w:r>
        <w:rPr>
          <w:rFonts w:ascii="Rockwell" w:eastAsia="Times-Roman" w:hAnsi="Rockwell" w:cs="Rockwell"/>
          <w:b/>
          <w:bCs/>
          <w:sz w:val="24"/>
          <w:szCs w:val="24"/>
        </w:rPr>
        <w:t>National Environment Management Authority</w:t>
      </w:r>
      <w:bookmarkEnd w:id="11"/>
    </w:p>
    <w:p w:rsidR="00CE5995" w:rsidRDefault="00CE5995">
      <w:pPr>
        <w:pStyle w:val="TOCHeading1"/>
        <w:spacing w:line="360" w:lineRule="auto"/>
        <w:jc w:val="both"/>
        <w:outlineLvl w:val="0"/>
        <w:rPr>
          <w:rFonts w:ascii="Rockwell" w:hAnsi="Rockwell" w:cs="Rockwell"/>
          <w:b/>
          <w:color w:val="auto"/>
          <w:sz w:val="24"/>
          <w:szCs w:val="24"/>
        </w:rPr>
      </w:pPr>
      <w:bookmarkStart w:id="12" w:name="_Toc425692"/>
    </w:p>
    <w:p w:rsidR="00CE5995" w:rsidRDefault="00CE5995"/>
    <w:p w:rsidR="00BC6616" w:rsidRDefault="00BC6616">
      <w:pPr>
        <w:pStyle w:val="TOCHeading1"/>
        <w:spacing w:line="360" w:lineRule="auto"/>
        <w:jc w:val="both"/>
        <w:outlineLvl w:val="0"/>
        <w:rPr>
          <w:rFonts w:ascii="Rockwell" w:hAnsi="Rockwell" w:cs="Rockwell"/>
          <w:b/>
          <w:color w:val="auto"/>
          <w:sz w:val="24"/>
          <w:szCs w:val="24"/>
        </w:rPr>
      </w:pPr>
      <w:bookmarkStart w:id="13" w:name="_Toc30933"/>
      <w:bookmarkStart w:id="14" w:name="_Toc29339"/>
      <w:bookmarkStart w:id="15" w:name="_Toc12280"/>
    </w:p>
    <w:p w:rsidR="00CE5995" w:rsidRDefault="00D37047">
      <w:pPr>
        <w:pStyle w:val="TOCHeading1"/>
        <w:spacing w:line="360" w:lineRule="auto"/>
        <w:jc w:val="both"/>
        <w:outlineLvl w:val="0"/>
        <w:rPr>
          <w:rFonts w:ascii="Rockwell" w:hAnsi="Rockwell" w:cs="Rockwell"/>
          <w:b/>
          <w:color w:val="auto"/>
          <w:sz w:val="24"/>
          <w:szCs w:val="24"/>
        </w:rPr>
      </w:pPr>
      <w:r>
        <w:rPr>
          <w:rFonts w:ascii="Rockwell" w:hAnsi="Rockwell" w:cs="Rockwell"/>
          <w:b/>
          <w:color w:val="auto"/>
          <w:sz w:val="24"/>
          <w:szCs w:val="24"/>
        </w:rPr>
        <w:t>TABLE OF CONTENTS</w:t>
      </w:r>
      <w:bookmarkEnd w:id="12"/>
      <w:bookmarkEnd w:id="13"/>
      <w:bookmarkEnd w:id="14"/>
      <w:bookmarkEnd w:id="15"/>
    </w:p>
    <w:p w:rsidR="00CE5995" w:rsidRDefault="00CE5995">
      <w:pPr>
        <w:spacing w:line="360" w:lineRule="auto"/>
        <w:jc w:val="both"/>
        <w:rPr>
          <w:rFonts w:ascii="Rockwell" w:hAnsi="Rockwell" w:cs="Rockwell"/>
          <w:sz w:val="24"/>
          <w:szCs w:val="24"/>
        </w:rPr>
      </w:pPr>
    </w:p>
    <w:p w:rsidR="00CE5995" w:rsidRDefault="00D37047">
      <w:pPr>
        <w:pStyle w:val="TOC1"/>
        <w:tabs>
          <w:tab w:val="right" w:leader="dot" w:pos="9360"/>
        </w:tabs>
      </w:pPr>
      <w:r>
        <w:rPr>
          <w:rFonts w:ascii="Rockwell" w:hAnsi="Rockwell" w:cs="Rockwell"/>
          <w:b/>
          <w:bCs/>
          <w:sz w:val="24"/>
          <w:szCs w:val="24"/>
        </w:rPr>
        <w:fldChar w:fldCharType="begin"/>
      </w:r>
      <w:r>
        <w:rPr>
          <w:rFonts w:ascii="Rockwell" w:hAnsi="Rockwell" w:cs="Rockwell"/>
          <w:b/>
          <w:bCs/>
          <w:sz w:val="24"/>
          <w:szCs w:val="24"/>
        </w:rPr>
        <w:instrText xml:space="preserve"> TOC \o "1-3" \h \z \u </w:instrText>
      </w:r>
      <w:r>
        <w:rPr>
          <w:rFonts w:ascii="Rockwell" w:hAnsi="Rockwell" w:cs="Rockwell"/>
          <w:b/>
          <w:bCs/>
          <w:sz w:val="24"/>
          <w:szCs w:val="24"/>
        </w:rPr>
        <w:fldChar w:fldCharType="separate"/>
      </w:r>
      <w:hyperlink w:anchor="_Toc27479" w:history="1">
        <w:r>
          <w:rPr>
            <w:rFonts w:ascii="Rockwell" w:hAnsi="Rockwell" w:cs="Rockwell"/>
            <w:szCs w:val="24"/>
          </w:rPr>
          <w:t>FOREWORD</w:t>
        </w:r>
        <w:r>
          <w:tab/>
        </w:r>
        <w:r>
          <w:fldChar w:fldCharType="begin"/>
        </w:r>
        <w:r>
          <w:instrText xml:space="preserve"> PAGEREF _Toc27479 </w:instrText>
        </w:r>
        <w:r>
          <w:fldChar w:fldCharType="separate"/>
        </w:r>
        <w:r>
          <w:t>2</w:t>
        </w:r>
        <w:r>
          <w:fldChar w:fldCharType="end"/>
        </w:r>
      </w:hyperlink>
    </w:p>
    <w:p w:rsidR="00CE5995" w:rsidRDefault="004D30B0">
      <w:pPr>
        <w:pStyle w:val="TOC1"/>
        <w:tabs>
          <w:tab w:val="right" w:leader="dot" w:pos="9360"/>
        </w:tabs>
      </w:pPr>
      <w:hyperlink w:anchor="_Toc10965" w:history="1">
        <w:r w:rsidR="00D37047">
          <w:rPr>
            <w:rFonts w:ascii="Rockwell" w:hAnsi="Rockwell" w:cs="Rockwell"/>
            <w:szCs w:val="24"/>
          </w:rPr>
          <w:t>ACKNOWLEDGMENTS</w:t>
        </w:r>
        <w:r w:rsidR="00D37047">
          <w:tab/>
        </w:r>
        <w:r w:rsidR="00D37047">
          <w:fldChar w:fldCharType="begin"/>
        </w:r>
        <w:r w:rsidR="00D37047">
          <w:instrText xml:space="preserve"> PAGEREF _Toc10965 </w:instrText>
        </w:r>
        <w:r w:rsidR="00D37047">
          <w:fldChar w:fldCharType="separate"/>
        </w:r>
        <w:r w:rsidR="00D37047">
          <w:t>3</w:t>
        </w:r>
        <w:r w:rsidR="00D37047">
          <w:fldChar w:fldCharType="end"/>
        </w:r>
      </w:hyperlink>
    </w:p>
    <w:p w:rsidR="00CE5995" w:rsidRDefault="004D30B0">
      <w:pPr>
        <w:pStyle w:val="TOC1"/>
        <w:tabs>
          <w:tab w:val="right" w:leader="dot" w:pos="9360"/>
        </w:tabs>
      </w:pPr>
      <w:hyperlink w:anchor="_Toc12280" w:history="1">
        <w:r w:rsidR="00D37047">
          <w:rPr>
            <w:rFonts w:ascii="Rockwell" w:hAnsi="Rockwell" w:cs="Rockwell"/>
            <w:szCs w:val="24"/>
          </w:rPr>
          <w:t>TABLE OF CONTENTS</w:t>
        </w:r>
        <w:r w:rsidR="00D37047">
          <w:tab/>
        </w:r>
        <w:r w:rsidR="00D37047">
          <w:fldChar w:fldCharType="begin"/>
        </w:r>
        <w:r w:rsidR="00D37047">
          <w:instrText xml:space="preserve"> PAGEREF _Toc12280 </w:instrText>
        </w:r>
        <w:r w:rsidR="00D37047">
          <w:fldChar w:fldCharType="separate"/>
        </w:r>
        <w:r w:rsidR="00D37047">
          <w:t>4</w:t>
        </w:r>
        <w:r w:rsidR="00D37047">
          <w:fldChar w:fldCharType="end"/>
        </w:r>
      </w:hyperlink>
    </w:p>
    <w:p w:rsidR="00CE5995" w:rsidRDefault="004D30B0">
      <w:pPr>
        <w:pStyle w:val="TOC1"/>
        <w:tabs>
          <w:tab w:val="right" w:leader="dot" w:pos="9360"/>
        </w:tabs>
      </w:pPr>
      <w:hyperlink w:anchor="_Toc24552" w:history="1">
        <w:r w:rsidR="00D37047">
          <w:rPr>
            <w:rFonts w:ascii="Rockwell" w:hAnsi="Rockwell" w:cs="Rockwell"/>
            <w:szCs w:val="24"/>
            <w:lang w:val="en-GB"/>
          </w:rPr>
          <w:t>ACRONYMS</w:t>
        </w:r>
        <w:r w:rsidR="00D37047">
          <w:tab/>
        </w:r>
        <w:r w:rsidR="00D37047">
          <w:fldChar w:fldCharType="begin"/>
        </w:r>
        <w:r w:rsidR="00D37047">
          <w:instrText xml:space="preserve"> PAGEREF _Toc24552 </w:instrText>
        </w:r>
        <w:r w:rsidR="00D37047">
          <w:fldChar w:fldCharType="separate"/>
        </w:r>
        <w:r w:rsidR="00D37047">
          <w:t>6</w:t>
        </w:r>
        <w:r w:rsidR="00D37047">
          <w:fldChar w:fldCharType="end"/>
        </w:r>
      </w:hyperlink>
    </w:p>
    <w:p w:rsidR="00CE5995" w:rsidRDefault="004D30B0">
      <w:pPr>
        <w:pStyle w:val="TOC1"/>
        <w:tabs>
          <w:tab w:val="right" w:leader="dot" w:pos="9360"/>
        </w:tabs>
      </w:pPr>
      <w:hyperlink w:anchor="_Toc13181" w:history="1">
        <w:r w:rsidR="00D37047">
          <w:rPr>
            <w:rFonts w:ascii="Rockwell" w:hAnsi="Rockwell" w:cs="Rockwell"/>
            <w:szCs w:val="24"/>
          </w:rPr>
          <w:t>DEFINITION OF TERMS</w:t>
        </w:r>
        <w:r w:rsidR="00D37047">
          <w:tab/>
        </w:r>
        <w:r w:rsidR="00D37047">
          <w:fldChar w:fldCharType="begin"/>
        </w:r>
        <w:r w:rsidR="00D37047">
          <w:instrText xml:space="preserve"> PAGEREF _Toc13181 </w:instrText>
        </w:r>
        <w:r w:rsidR="00D37047">
          <w:fldChar w:fldCharType="separate"/>
        </w:r>
        <w:r w:rsidR="00D37047">
          <w:t>7</w:t>
        </w:r>
        <w:r w:rsidR="00D37047">
          <w:fldChar w:fldCharType="end"/>
        </w:r>
      </w:hyperlink>
    </w:p>
    <w:p w:rsidR="00CE5995" w:rsidRDefault="004D30B0">
      <w:pPr>
        <w:pStyle w:val="TOC1"/>
        <w:tabs>
          <w:tab w:val="right" w:leader="dot" w:pos="9360"/>
        </w:tabs>
      </w:pPr>
      <w:hyperlink w:anchor="_Toc27204" w:history="1">
        <w:r w:rsidR="00D37047">
          <w:rPr>
            <w:rFonts w:ascii="Rockwell" w:hAnsi="Rockwell" w:cs="Rockwell"/>
            <w:szCs w:val="24"/>
          </w:rPr>
          <w:t>1.0 Background</w:t>
        </w:r>
        <w:r w:rsidR="00D37047">
          <w:tab/>
        </w:r>
        <w:r w:rsidR="00D37047">
          <w:fldChar w:fldCharType="begin"/>
        </w:r>
        <w:r w:rsidR="00D37047">
          <w:instrText xml:space="preserve"> PAGEREF _Toc27204 </w:instrText>
        </w:r>
        <w:r w:rsidR="00D37047">
          <w:fldChar w:fldCharType="separate"/>
        </w:r>
        <w:r w:rsidR="00D37047">
          <w:t>9</w:t>
        </w:r>
        <w:r w:rsidR="00D37047">
          <w:fldChar w:fldCharType="end"/>
        </w:r>
      </w:hyperlink>
    </w:p>
    <w:p w:rsidR="00CE5995" w:rsidRDefault="004D30B0">
      <w:pPr>
        <w:pStyle w:val="TOC1"/>
        <w:tabs>
          <w:tab w:val="right" w:leader="dot" w:pos="9360"/>
        </w:tabs>
      </w:pPr>
      <w:hyperlink w:anchor="_Toc24141" w:history="1">
        <w:r w:rsidR="00D37047">
          <w:rPr>
            <w:rFonts w:ascii="Rockwell" w:hAnsi="Rockwell" w:cs="Rockwell"/>
            <w:szCs w:val="24"/>
          </w:rPr>
          <w:t xml:space="preserve">1.1 </w:t>
        </w:r>
        <w:r w:rsidR="00D37047">
          <w:rPr>
            <w:rFonts w:ascii="Rockwell" w:hAnsi="Rockwell" w:cs="Rockwell"/>
            <w:szCs w:val="24"/>
            <w:lang w:val="en-GB"/>
          </w:rPr>
          <w:t xml:space="preserve">The objective and scope of the </w:t>
        </w:r>
        <w:r w:rsidR="00313495">
          <w:rPr>
            <w:rFonts w:ascii="Rockwell" w:hAnsi="Rockwell" w:cs="Rockwell"/>
            <w:szCs w:val="24"/>
            <w:lang w:val="en-GB"/>
          </w:rPr>
          <w:t>Guideline</w:t>
        </w:r>
        <w:r w:rsidR="00D37047">
          <w:tab/>
        </w:r>
        <w:r w:rsidR="00D37047">
          <w:fldChar w:fldCharType="begin"/>
        </w:r>
        <w:r w:rsidR="00D37047">
          <w:instrText xml:space="preserve"> PAGEREF _Toc24141 </w:instrText>
        </w:r>
        <w:r w:rsidR="00D37047">
          <w:fldChar w:fldCharType="separate"/>
        </w:r>
        <w:r w:rsidR="00D37047">
          <w:t>10</w:t>
        </w:r>
        <w:r w:rsidR="00D37047">
          <w:fldChar w:fldCharType="end"/>
        </w:r>
      </w:hyperlink>
    </w:p>
    <w:p w:rsidR="00CE5995" w:rsidRDefault="004D30B0">
      <w:pPr>
        <w:pStyle w:val="TOC1"/>
        <w:tabs>
          <w:tab w:val="right" w:leader="dot" w:pos="9360"/>
        </w:tabs>
      </w:pPr>
      <w:hyperlink w:anchor="_Toc29260" w:history="1">
        <w:r w:rsidR="00D37047">
          <w:rPr>
            <w:rFonts w:ascii="Rockwell" w:hAnsi="Rockwell" w:cs="Rockwell"/>
            <w:szCs w:val="24"/>
            <w:lang w:val="en-GB"/>
          </w:rPr>
          <w:t>1.2 The scope</w:t>
        </w:r>
        <w:r w:rsidR="00D37047">
          <w:tab/>
        </w:r>
        <w:r w:rsidR="00D37047">
          <w:fldChar w:fldCharType="begin"/>
        </w:r>
        <w:r w:rsidR="00D37047">
          <w:instrText xml:space="preserve"> PAGEREF _Toc29260 </w:instrText>
        </w:r>
        <w:r w:rsidR="00D37047">
          <w:fldChar w:fldCharType="separate"/>
        </w:r>
        <w:r w:rsidR="00D37047">
          <w:t>10</w:t>
        </w:r>
        <w:r w:rsidR="00D37047">
          <w:fldChar w:fldCharType="end"/>
        </w:r>
      </w:hyperlink>
    </w:p>
    <w:p w:rsidR="00CE5995" w:rsidRDefault="004D30B0">
      <w:pPr>
        <w:pStyle w:val="TOC1"/>
        <w:tabs>
          <w:tab w:val="right" w:leader="dot" w:pos="9360"/>
        </w:tabs>
      </w:pPr>
      <w:hyperlink w:anchor="_Toc31344" w:history="1">
        <w:r w:rsidR="00D37047">
          <w:rPr>
            <w:rFonts w:ascii="Rockwell" w:hAnsi="Rockwell" w:cs="Rockwell"/>
            <w:szCs w:val="24"/>
          </w:rPr>
          <w:t>2.0 Policy, Legal And Institutional Framework</w:t>
        </w:r>
        <w:r w:rsidR="00D37047">
          <w:tab/>
        </w:r>
        <w:r w:rsidR="00D37047">
          <w:fldChar w:fldCharType="begin"/>
        </w:r>
        <w:r w:rsidR="00D37047">
          <w:instrText xml:space="preserve"> PAGEREF _Toc31344 </w:instrText>
        </w:r>
        <w:r w:rsidR="00D37047">
          <w:fldChar w:fldCharType="separate"/>
        </w:r>
        <w:r w:rsidR="00D37047">
          <w:t>11</w:t>
        </w:r>
        <w:r w:rsidR="00D37047">
          <w:fldChar w:fldCharType="end"/>
        </w:r>
      </w:hyperlink>
    </w:p>
    <w:p w:rsidR="00CE5995" w:rsidRDefault="004D30B0">
      <w:pPr>
        <w:pStyle w:val="TOC1"/>
        <w:tabs>
          <w:tab w:val="right" w:leader="dot" w:pos="9360"/>
        </w:tabs>
      </w:pPr>
      <w:hyperlink w:anchor="_Toc6224" w:history="1">
        <w:r w:rsidR="00D37047">
          <w:rPr>
            <w:rFonts w:ascii="Rockwell" w:hAnsi="Rockwell" w:cs="Rockwell"/>
            <w:szCs w:val="24"/>
          </w:rPr>
          <w:t>2.</w:t>
        </w:r>
        <w:r w:rsidR="00D37047">
          <w:rPr>
            <w:rFonts w:ascii="Rockwell" w:hAnsi="Rockwell" w:cs="Rockwell"/>
            <w:szCs w:val="24"/>
            <w:lang w:val="en-GB"/>
          </w:rPr>
          <w:t>1</w:t>
        </w:r>
        <w:r w:rsidR="00D37047">
          <w:rPr>
            <w:rFonts w:ascii="Rockwell" w:hAnsi="Rockwell" w:cs="Rockwell"/>
            <w:szCs w:val="24"/>
          </w:rPr>
          <w:t xml:space="preserve"> Constitution of Kenya (CoK)</w:t>
        </w:r>
        <w:r w:rsidR="00D37047">
          <w:tab/>
        </w:r>
        <w:r w:rsidR="00D37047">
          <w:fldChar w:fldCharType="begin"/>
        </w:r>
        <w:r w:rsidR="00D37047">
          <w:instrText xml:space="preserve"> PAGEREF _Toc6224 </w:instrText>
        </w:r>
        <w:r w:rsidR="00D37047">
          <w:fldChar w:fldCharType="separate"/>
        </w:r>
        <w:r w:rsidR="00D37047">
          <w:t>11</w:t>
        </w:r>
        <w:r w:rsidR="00D37047">
          <w:fldChar w:fldCharType="end"/>
        </w:r>
      </w:hyperlink>
    </w:p>
    <w:p w:rsidR="00CE5995" w:rsidRDefault="004D30B0">
      <w:pPr>
        <w:pStyle w:val="TOC1"/>
        <w:tabs>
          <w:tab w:val="right" w:leader="dot" w:pos="9360"/>
        </w:tabs>
      </w:pPr>
      <w:hyperlink w:anchor="_Toc21432" w:history="1">
        <w:r w:rsidR="00D37047">
          <w:rPr>
            <w:rFonts w:ascii="Rockwell" w:hAnsi="Rockwell" w:cs="Rockwell"/>
            <w:szCs w:val="24"/>
            <w:lang w:val="en-GB"/>
          </w:rPr>
          <w:t xml:space="preserve">2.2 </w:t>
        </w:r>
        <w:r w:rsidR="00D37047">
          <w:rPr>
            <w:rFonts w:ascii="Rockwell" w:hAnsi="Rockwell" w:cs="Rockwell"/>
            <w:szCs w:val="24"/>
          </w:rPr>
          <w:t>Policy, Legal and Institutional Framework Matrix</w:t>
        </w:r>
        <w:r w:rsidR="00D37047">
          <w:tab/>
        </w:r>
        <w:r w:rsidR="00D37047">
          <w:fldChar w:fldCharType="begin"/>
        </w:r>
        <w:r w:rsidR="00D37047">
          <w:instrText xml:space="preserve"> PAGEREF _Toc21432 </w:instrText>
        </w:r>
        <w:r w:rsidR="00D37047">
          <w:fldChar w:fldCharType="separate"/>
        </w:r>
        <w:r w:rsidR="00D37047">
          <w:t>12</w:t>
        </w:r>
        <w:r w:rsidR="00D37047">
          <w:fldChar w:fldCharType="end"/>
        </w:r>
      </w:hyperlink>
    </w:p>
    <w:p w:rsidR="00CE5995" w:rsidRDefault="004D30B0">
      <w:pPr>
        <w:pStyle w:val="TOC1"/>
        <w:tabs>
          <w:tab w:val="right" w:leader="dot" w:pos="9360"/>
        </w:tabs>
      </w:pPr>
      <w:hyperlink w:anchor="_Toc31384" w:history="1">
        <w:r w:rsidR="00D37047">
          <w:rPr>
            <w:rFonts w:ascii="Rockwell" w:hAnsi="Rockwell" w:cs="Rockwell"/>
            <w:szCs w:val="24"/>
          </w:rPr>
          <w:t xml:space="preserve">3.0 </w:t>
        </w:r>
        <w:r w:rsidR="00313495">
          <w:rPr>
            <w:rFonts w:ascii="Rockwell" w:hAnsi="Rockwell" w:cs="Rockwell"/>
            <w:szCs w:val="24"/>
            <w:lang w:val="en-GB"/>
          </w:rPr>
          <w:t>Guideline</w:t>
        </w:r>
        <w:r w:rsidR="00D37047">
          <w:rPr>
            <w:rFonts w:ascii="Rockwell" w:hAnsi="Rockwell" w:cs="Rockwell"/>
            <w:szCs w:val="24"/>
            <w:lang w:val="en-GB"/>
          </w:rPr>
          <w:t xml:space="preserve"> on </w:t>
        </w:r>
        <w:r w:rsidR="00D37047">
          <w:rPr>
            <w:rFonts w:ascii="Rockwell" w:hAnsi="Rockwell" w:cs="Rockwell"/>
            <w:szCs w:val="24"/>
          </w:rPr>
          <w:t xml:space="preserve">Mine Site Decommissioning </w:t>
        </w:r>
        <w:r w:rsidR="00D37047">
          <w:rPr>
            <w:rFonts w:ascii="Rockwell" w:hAnsi="Rockwell" w:cs="Rockwell"/>
            <w:szCs w:val="24"/>
            <w:lang w:val="en-GB"/>
          </w:rPr>
          <w:t xml:space="preserve">and Rehabilitation </w:t>
        </w:r>
        <w:r w:rsidR="00D37047">
          <w:rPr>
            <w:rFonts w:ascii="Rockwell" w:hAnsi="Rockwell" w:cs="Rockwell"/>
            <w:szCs w:val="24"/>
          </w:rPr>
          <w:t>Plan</w:t>
        </w:r>
        <w:r w:rsidR="00D37047">
          <w:tab/>
        </w:r>
        <w:r w:rsidR="00D37047">
          <w:fldChar w:fldCharType="begin"/>
        </w:r>
        <w:r w:rsidR="00D37047">
          <w:instrText xml:space="preserve"> PAGEREF _Toc31384 </w:instrText>
        </w:r>
        <w:r w:rsidR="00D37047">
          <w:fldChar w:fldCharType="separate"/>
        </w:r>
        <w:r w:rsidR="00D37047">
          <w:t>19</w:t>
        </w:r>
        <w:r w:rsidR="00D37047">
          <w:fldChar w:fldCharType="end"/>
        </w:r>
      </w:hyperlink>
    </w:p>
    <w:p w:rsidR="00CE5995" w:rsidRDefault="004D30B0">
      <w:pPr>
        <w:pStyle w:val="TOC1"/>
        <w:tabs>
          <w:tab w:val="right" w:leader="dot" w:pos="9360"/>
        </w:tabs>
      </w:pPr>
      <w:hyperlink w:anchor="_Toc29219" w:history="1">
        <w:r w:rsidR="00D37047">
          <w:rPr>
            <w:rFonts w:ascii="Rockwell" w:hAnsi="Rockwell" w:cs="Rockwell"/>
            <w:szCs w:val="24"/>
            <w:lang w:val="en-GB"/>
          </w:rPr>
          <w:t>3.1</w:t>
        </w:r>
        <w:r w:rsidR="00D37047">
          <w:rPr>
            <w:rFonts w:ascii="Rockwell" w:hAnsi="Rockwell" w:cs="Rockwell"/>
            <w:szCs w:val="24"/>
          </w:rPr>
          <w:t xml:space="preserve"> Typical Structure of the Mine Closure Plan</w:t>
        </w:r>
        <w:r w:rsidR="00D37047">
          <w:tab/>
        </w:r>
        <w:r w:rsidR="00D37047">
          <w:fldChar w:fldCharType="begin"/>
        </w:r>
        <w:r w:rsidR="00D37047">
          <w:instrText xml:space="preserve"> PAGEREF _Toc29219 </w:instrText>
        </w:r>
        <w:r w:rsidR="00D37047">
          <w:fldChar w:fldCharType="separate"/>
        </w:r>
        <w:r w:rsidR="00D37047">
          <w:t>19</w:t>
        </w:r>
        <w:r w:rsidR="00D37047">
          <w:fldChar w:fldCharType="end"/>
        </w:r>
      </w:hyperlink>
    </w:p>
    <w:p w:rsidR="00CE5995" w:rsidRDefault="004D30B0">
      <w:pPr>
        <w:pStyle w:val="TOC1"/>
        <w:tabs>
          <w:tab w:val="right" w:leader="dot" w:pos="9360"/>
        </w:tabs>
      </w:pPr>
      <w:hyperlink w:anchor="_Toc8369" w:history="1">
        <w:r w:rsidR="00D37047">
          <w:rPr>
            <w:rFonts w:ascii="Rockwell" w:hAnsi="Rockwell" w:cs="Rockwell"/>
            <w:szCs w:val="24"/>
          </w:rPr>
          <w:t xml:space="preserve">3.2  Key issues in the mine site decommissioning </w:t>
        </w:r>
        <w:r w:rsidR="00D37047">
          <w:rPr>
            <w:rFonts w:ascii="Rockwell" w:hAnsi="Rockwell" w:cs="Rockwell"/>
            <w:szCs w:val="24"/>
            <w:lang w:val="en-GB"/>
          </w:rPr>
          <w:t xml:space="preserve">and rehabilitation </w:t>
        </w:r>
        <w:r w:rsidR="00D37047">
          <w:rPr>
            <w:rFonts w:ascii="Rockwell" w:hAnsi="Rockwell" w:cs="Rockwell"/>
            <w:szCs w:val="24"/>
          </w:rPr>
          <w:t>plan</w:t>
        </w:r>
        <w:r w:rsidR="00D37047">
          <w:tab/>
        </w:r>
        <w:r w:rsidR="00D37047">
          <w:fldChar w:fldCharType="begin"/>
        </w:r>
        <w:r w:rsidR="00D37047">
          <w:instrText xml:space="preserve"> PAGEREF _Toc8369 </w:instrText>
        </w:r>
        <w:r w:rsidR="00D37047">
          <w:fldChar w:fldCharType="separate"/>
        </w:r>
        <w:r w:rsidR="00D37047">
          <w:t>21</w:t>
        </w:r>
        <w:r w:rsidR="00D37047">
          <w:fldChar w:fldCharType="end"/>
        </w:r>
      </w:hyperlink>
    </w:p>
    <w:p w:rsidR="00CE5995" w:rsidRDefault="004D30B0">
      <w:pPr>
        <w:pStyle w:val="TOC2"/>
        <w:tabs>
          <w:tab w:val="right" w:leader="dot" w:pos="9360"/>
        </w:tabs>
      </w:pPr>
      <w:hyperlink w:anchor="_Toc2150" w:history="1">
        <w:r w:rsidR="00D37047">
          <w:rPr>
            <w:rFonts w:ascii="Rockwell" w:hAnsi="Rockwell" w:cs="Rockwell"/>
            <w:szCs w:val="24"/>
          </w:rPr>
          <w:t>3.2.1 Water Quality and Quantity:</w:t>
        </w:r>
        <w:r w:rsidR="00D37047">
          <w:tab/>
        </w:r>
        <w:r w:rsidR="00D37047">
          <w:fldChar w:fldCharType="begin"/>
        </w:r>
        <w:r w:rsidR="00D37047">
          <w:instrText xml:space="preserve"> PAGEREF _Toc2150 </w:instrText>
        </w:r>
        <w:r w:rsidR="00D37047">
          <w:fldChar w:fldCharType="separate"/>
        </w:r>
        <w:r w:rsidR="00D37047">
          <w:t>21</w:t>
        </w:r>
        <w:r w:rsidR="00D37047">
          <w:fldChar w:fldCharType="end"/>
        </w:r>
      </w:hyperlink>
    </w:p>
    <w:p w:rsidR="00CE5995" w:rsidRDefault="004D30B0">
      <w:pPr>
        <w:pStyle w:val="TOC2"/>
        <w:tabs>
          <w:tab w:val="right" w:leader="dot" w:pos="9360"/>
        </w:tabs>
      </w:pPr>
      <w:hyperlink w:anchor="_Toc7767" w:history="1">
        <w:r w:rsidR="00D37047">
          <w:rPr>
            <w:rFonts w:ascii="Rockwell" w:hAnsi="Rockwell" w:cs="Rockwell"/>
            <w:szCs w:val="24"/>
          </w:rPr>
          <w:t>3.2.2 Air Quality:</w:t>
        </w:r>
        <w:r w:rsidR="00D37047">
          <w:tab/>
        </w:r>
        <w:r w:rsidR="00D37047">
          <w:fldChar w:fldCharType="begin"/>
        </w:r>
        <w:r w:rsidR="00D37047">
          <w:instrText xml:space="preserve"> PAGEREF _Toc7767 </w:instrText>
        </w:r>
        <w:r w:rsidR="00D37047">
          <w:fldChar w:fldCharType="separate"/>
        </w:r>
        <w:r w:rsidR="00D37047">
          <w:t>22</w:t>
        </w:r>
        <w:r w:rsidR="00D37047">
          <w:fldChar w:fldCharType="end"/>
        </w:r>
      </w:hyperlink>
    </w:p>
    <w:p w:rsidR="00CE5995" w:rsidRDefault="004D30B0">
      <w:pPr>
        <w:pStyle w:val="TOC2"/>
        <w:tabs>
          <w:tab w:val="right" w:leader="dot" w:pos="9360"/>
        </w:tabs>
      </w:pPr>
      <w:hyperlink w:anchor="_Toc16324" w:history="1">
        <w:r w:rsidR="00D37047">
          <w:rPr>
            <w:rFonts w:ascii="Rockwell" w:hAnsi="Rockwell" w:cs="Rockwell"/>
            <w:szCs w:val="24"/>
          </w:rPr>
          <w:t>3.2.3 Waste Management:</w:t>
        </w:r>
        <w:r w:rsidR="00D37047">
          <w:tab/>
        </w:r>
        <w:r w:rsidR="00D37047">
          <w:fldChar w:fldCharType="begin"/>
        </w:r>
        <w:r w:rsidR="00D37047">
          <w:instrText xml:space="preserve"> PAGEREF _Toc16324 </w:instrText>
        </w:r>
        <w:r w:rsidR="00D37047">
          <w:fldChar w:fldCharType="separate"/>
        </w:r>
        <w:r w:rsidR="00D37047">
          <w:t>22</w:t>
        </w:r>
        <w:r w:rsidR="00D37047">
          <w:fldChar w:fldCharType="end"/>
        </w:r>
      </w:hyperlink>
    </w:p>
    <w:p w:rsidR="00CE5995" w:rsidRDefault="004D30B0">
      <w:pPr>
        <w:pStyle w:val="TOC2"/>
        <w:tabs>
          <w:tab w:val="right" w:leader="dot" w:pos="9360"/>
        </w:tabs>
      </w:pPr>
      <w:hyperlink w:anchor="_Toc4716" w:history="1">
        <w:r w:rsidR="00D37047">
          <w:rPr>
            <w:rFonts w:ascii="Rockwell" w:hAnsi="Rockwell" w:cs="Rockwell"/>
            <w:szCs w:val="24"/>
          </w:rPr>
          <w:t>3.2.4 Soil Quality:</w:t>
        </w:r>
        <w:r w:rsidR="00D37047">
          <w:tab/>
        </w:r>
        <w:r w:rsidR="00D37047">
          <w:fldChar w:fldCharType="begin"/>
        </w:r>
        <w:r w:rsidR="00D37047">
          <w:instrText xml:space="preserve"> PAGEREF _Toc4716 </w:instrText>
        </w:r>
        <w:r w:rsidR="00D37047">
          <w:fldChar w:fldCharType="separate"/>
        </w:r>
        <w:r w:rsidR="00D37047">
          <w:t>23</w:t>
        </w:r>
        <w:r w:rsidR="00D37047">
          <w:fldChar w:fldCharType="end"/>
        </w:r>
      </w:hyperlink>
    </w:p>
    <w:p w:rsidR="00CE5995" w:rsidRDefault="004D30B0">
      <w:pPr>
        <w:pStyle w:val="TOC2"/>
        <w:tabs>
          <w:tab w:val="right" w:leader="dot" w:pos="9360"/>
        </w:tabs>
      </w:pPr>
      <w:hyperlink w:anchor="_Toc5017" w:history="1">
        <w:r w:rsidR="00D37047">
          <w:rPr>
            <w:rFonts w:ascii="Rockwell" w:hAnsi="Rockwell" w:cs="Rockwell"/>
            <w:szCs w:val="24"/>
          </w:rPr>
          <w:t>3.2.5 Biodiversity and threatened species</w:t>
        </w:r>
        <w:r w:rsidR="00D37047">
          <w:tab/>
        </w:r>
        <w:r w:rsidR="00D37047">
          <w:fldChar w:fldCharType="begin"/>
        </w:r>
        <w:r w:rsidR="00D37047">
          <w:instrText xml:space="preserve"> PAGEREF _Toc5017 </w:instrText>
        </w:r>
        <w:r w:rsidR="00D37047">
          <w:fldChar w:fldCharType="separate"/>
        </w:r>
        <w:r w:rsidR="00D37047">
          <w:t>23</w:t>
        </w:r>
        <w:r w:rsidR="00D37047">
          <w:fldChar w:fldCharType="end"/>
        </w:r>
      </w:hyperlink>
    </w:p>
    <w:p w:rsidR="00CE5995" w:rsidRDefault="004D30B0">
      <w:pPr>
        <w:pStyle w:val="TOC2"/>
        <w:tabs>
          <w:tab w:val="right" w:leader="dot" w:pos="9360"/>
        </w:tabs>
      </w:pPr>
      <w:hyperlink w:anchor="_Toc2774" w:history="1">
        <w:r w:rsidR="00D37047">
          <w:rPr>
            <w:rFonts w:ascii="Rockwell" w:hAnsi="Rockwell" w:cs="Rockwell"/>
            <w:szCs w:val="24"/>
          </w:rPr>
          <w:t>3.2.6 Tailing storage facility management</w:t>
        </w:r>
        <w:r w:rsidR="00D37047">
          <w:tab/>
        </w:r>
        <w:r w:rsidR="00D37047">
          <w:fldChar w:fldCharType="begin"/>
        </w:r>
        <w:r w:rsidR="00D37047">
          <w:instrText xml:space="preserve"> PAGEREF _Toc2774 </w:instrText>
        </w:r>
        <w:r w:rsidR="00D37047">
          <w:fldChar w:fldCharType="separate"/>
        </w:r>
        <w:r w:rsidR="00D37047">
          <w:t>23</w:t>
        </w:r>
        <w:r w:rsidR="00D37047">
          <w:fldChar w:fldCharType="end"/>
        </w:r>
      </w:hyperlink>
    </w:p>
    <w:p w:rsidR="00CE5995" w:rsidRDefault="004D30B0">
      <w:pPr>
        <w:pStyle w:val="TOC2"/>
        <w:tabs>
          <w:tab w:val="right" w:leader="dot" w:pos="9360"/>
        </w:tabs>
      </w:pPr>
      <w:hyperlink w:anchor="_Toc16962" w:history="1">
        <w:r w:rsidR="00D37047">
          <w:rPr>
            <w:rFonts w:ascii="Rockwell" w:hAnsi="Rockwell" w:cs="Rockwell"/>
            <w:szCs w:val="24"/>
          </w:rPr>
          <w:t>3.2.7 Disused mine pits</w:t>
        </w:r>
        <w:r w:rsidR="00D37047">
          <w:tab/>
        </w:r>
        <w:r w:rsidR="00D37047">
          <w:fldChar w:fldCharType="begin"/>
        </w:r>
        <w:r w:rsidR="00D37047">
          <w:instrText xml:space="preserve"> PAGEREF _Toc16962 </w:instrText>
        </w:r>
        <w:r w:rsidR="00D37047">
          <w:fldChar w:fldCharType="separate"/>
        </w:r>
        <w:r w:rsidR="00D37047">
          <w:t>24</w:t>
        </w:r>
        <w:r w:rsidR="00D37047">
          <w:fldChar w:fldCharType="end"/>
        </w:r>
      </w:hyperlink>
    </w:p>
    <w:p w:rsidR="00CE5995" w:rsidRDefault="004D30B0">
      <w:pPr>
        <w:pStyle w:val="TOC2"/>
        <w:tabs>
          <w:tab w:val="right" w:leader="dot" w:pos="9360"/>
        </w:tabs>
      </w:pPr>
      <w:hyperlink w:anchor="_Toc23623" w:history="1">
        <w:r w:rsidR="00D37047">
          <w:rPr>
            <w:rFonts w:ascii="Rockwell" w:hAnsi="Rockwell" w:cs="Rockwell"/>
            <w:szCs w:val="24"/>
          </w:rPr>
          <w:t>3.2.8 Infrastructure</w:t>
        </w:r>
        <w:r w:rsidR="00D37047">
          <w:tab/>
        </w:r>
        <w:r w:rsidR="00D37047">
          <w:fldChar w:fldCharType="begin"/>
        </w:r>
        <w:r w:rsidR="00D37047">
          <w:instrText xml:space="preserve"> PAGEREF _Toc23623 </w:instrText>
        </w:r>
        <w:r w:rsidR="00D37047">
          <w:fldChar w:fldCharType="separate"/>
        </w:r>
        <w:r w:rsidR="00D37047">
          <w:t>24</w:t>
        </w:r>
        <w:r w:rsidR="00D37047">
          <w:fldChar w:fldCharType="end"/>
        </w:r>
      </w:hyperlink>
    </w:p>
    <w:p w:rsidR="00CE5995" w:rsidRDefault="004D30B0">
      <w:pPr>
        <w:pStyle w:val="TOC2"/>
        <w:tabs>
          <w:tab w:val="right" w:leader="dot" w:pos="9360"/>
        </w:tabs>
      </w:pPr>
      <w:hyperlink w:anchor="_Toc17996" w:history="1">
        <w:r w:rsidR="00D37047">
          <w:rPr>
            <w:rFonts w:ascii="Rockwell" w:hAnsi="Rockwell" w:cs="Rockwell"/>
            <w:szCs w:val="24"/>
          </w:rPr>
          <w:t>3.2.9 Disposal of mining machinery and equipment (movable and immovable assets)</w:t>
        </w:r>
        <w:r w:rsidR="00D37047">
          <w:tab/>
        </w:r>
        <w:r w:rsidR="00D37047">
          <w:fldChar w:fldCharType="begin"/>
        </w:r>
        <w:r w:rsidR="00D37047">
          <w:instrText xml:space="preserve"> PAGEREF _Toc17996 </w:instrText>
        </w:r>
        <w:r w:rsidR="00D37047">
          <w:fldChar w:fldCharType="separate"/>
        </w:r>
        <w:r w:rsidR="00D37047">
          <w:t>24</w:t>
        </w:r>
        <w:r w:rsidR="00D37047">
          <w:fldChar w:fldCharType="end"/>
        </w:r>
      </w:hyperlink>
    </w:p>
    <w:p w:rsidR="00CE5995" w:rsidRDefault="004D30B0">
      <w:pPr>
        <w:pStyle w:val="TOC2"/>
        <w:tabs>
          <w:tab w:val="right" w:leader="dot" w:pos="9360"/>
        </w:tabs>
      </w:pPr>
      <w:hyperlink w:anchor="_Toc13619" w:history="1">
        <w:r w:rsidR="00D37047">
          <w:rPr>
            <w:rFonts w:ascii="Rockwell" w:hAnsi="Rockwell" w:cs="Rockwell"/>
            <w:szCs w:val="24"/>
          </w:rPr>
          <w:t>3.2.10 Safety and Security</w:t>
        </w:r>
        <w:r w:rsidR="00D37047">
          <w:tab/>
        </w:r>
        <w:r w:rsidR="00D37047">
          <w:fldChar w:fldCharType="begin"/>
        </w:r>
        <w:r w:rsidR="00D37047">
          <w:instrText xml:space="preserve"> PAGEREF _Toc13619 </w:instrText>
        </w:r>
        <w:r w:rsidR="00D37047">
          <w:fldChar w:fldCharType="separate"/>
        </w:r>
        <w:r w:rsidR="00D37047">
          <w:t>25</w:t>
        </w:r>
        <w:r w:rsidR="00D37047">
          <w:fldChar w:fldCharType="end"/>
        </w:r>
      </w:hyperlink>
    </w:p>
    <w:p w:rsidR="00CE5995" w:rsidRDefault="004D30B0">
      <w:pPr>
        <w:pStyle w:val="TOC2"/>
        <w:tabs>
          <w:tab w:val="right" w:leader="dot" w:pos="9360"/>
        </w:tabs>
      </w:pPr>
      <w:hyperlink w:anchor="_Toc8717" w:history="1">
        <w:r w:rsidR="00D37047">
          <w:rPr>
            <w:rFonts w:ascii="Rockwell" w:hAnsi="Rockwell" w:cs="Rockwell"/>
            <w:szCs w:val="24"/>
          </w:rPr>
          <w:t>3.2.11 Disaster Management and Risk Assessment</w:t>
        </w:r>
        <w:r w:rsidR="00D37047">
          <w:tab/>
        </w:r>
        <w:r w:rsidR="00D37047">
          <w:fldChar w:fldCharType="begin"/>
        </w:r>
        <w:r w:rsidR="00D37047">
          <w:instrText xml:space="preserve"> PAGEREF _Toc8717 </w:instrText>
        </w:r>
        <w:r w:rsidR="00D37047">
          <w:fldChar w:fldCharType="separate"/>
        </w:r>
        <w:r w:rsidR="00D37047">
          <w:t>25</w:t>
        </w:r>
        <w:r w:rsidR="00D37047">
          <w:fldChar w:fldCharType="end"/>
        </w:r>
      </w:hyperlink>
    </w:p>
    <w:p w:rsidR="00CE5995" w:rsidRDefault="004D30B0">
      <w:pPr>
        <w:pStyle w:val="TOC2"/>
        <w:tabs>
          <w:tab w:val="right" w:leader="dot" w:pos="9360"/>
        </w:tabs>
      </w:pPr>
      <w:hyperlink w:anchor="_Toc11648" w:history="1">
        <w:r w:rsidR="00D37047">
          <w:rPr>
            <w:rFonts w:ascii="Rockwell" w:hAnsi="Rockwell" w:cs="Rockwell"/>
            <w:szCs w:val="24"/>
          </w:rPr>
          <w:t>3.2.12 Care and maintenance during temporary discontinuance</w:t>
        </w:r>
        <w:r w:rsidR="00D37047">
          <w:tab/>
        </w:r>
        <w:r w:rsidR="00D37047">
          <w:fldChar w:fldCharType="begin"/>
        </w:r>
        <w:r w:rsidR="00D37047">
          <w:instrText xml:space="preserve"> PAGEREF _Toc11648 </w:instrText>
        </w:r>
        <w:r w:rsidR="00D37047">
          <w:fldChar w:fldCharType="separate"/>
        </w:r>
        <w:r w:rsidR="00D37047">
          <w:t>25</w:t>
        </w:r>
        <w:r w:rsidR="00D37047">
          <w:fldChar w:fldCharType="end"/>
        </w:r>
      </w:hyperlink>
    </w:p>
    <w:p w:rsidR="00CE5995" w:rsidRDefault="004D30B0">
      <w:pPr>
        <w:pStyle w:val="TOC2"/>
        <w:tabs>
          <w:tab w:val="right" w:leader="dot" w:pos="9360"/>
        </w:tabs>
      </w:pPr>
      <w:hyperlink w:anchor="_Toc22806" w:history="1">
        <w:r w:rsidR="00D37047">
          <w:rPr>
            <w:rFonts w:ascii="Rockwell" w:hAnsi="Rockwell" w:cs="Rockwell"/>
            <w:bCs/>
            <w:szCs w:val="24"/>
          </w:rPr>
          <w:t>3.2.13 Visual amenity</w:t>
        </w:r>
        <w:r w:rsidR="00D37047">
          <w:tab/>
        </w:r>
        <w:r w:rsidR="00D37047">
          <w:fldChar w:fldCharType="begin"/>
        </w:r>
        <w:r w:rsidR="00D37047">
          <w:instrText xml:space="preserve"> PAGEREF _Toc22806 </w:instrText>
        </w:r>
        <w:r w:rsidR="00D37047">
          <w:fldChar w:fldCharType="separate"/>
        </w:r>
        <w:r w:rsidR="00D37047">
          <w:t>25</w:t>
        </w:r>
        <w:r w:rsidR="00D37047">
          <w:fldChar w:fldCharType="end"/>
        </w:r>
      </w:hyperlink>
    </w:p>
    <w:p w:rsidR="00CE5995" w:rsidRDefault="004D30B0">
      <w:pPr>
        <w:pStyle w:val="TOC2"/>
        <w:tabs>
          <w:tab w:val="right" w:leader="dot" w:pos="9360"/>
        </w:tabs>
      </w:pPr>
      <w:hyperlink w:anchor="_Toc24759" w:history="1">
        <w:r w:rsidR="00D37047">
          <w:rPr>
            <w:rFonts w:ascii="Rockwell" w:hAnsi="Rockwell" w:cs="Rockwell"/>
            <w:bCs/>
            <w:szCs w:val="24"/>
          </w:rPr>
          <w:t>3.2.14 Heritage and cultural aspects</w:t>
        </w:r>
        <w:r w:rsidR="00D37047">
          <w:tab/>
        </w:r>
        <w:r w:rsidR="00D37047">
          <w:fldChar w:fldCharType="begin"/>
        </w:r>
        <w:r w:rsidR="00D37047">
          <w:instrText xml:space="preserve"> PAGEREF _Toc24759 </w:instrText>
        </w:r>
        <w:r w:rsidR="00D37047">
          <w:fldChar w:fldCharType="separate"/>
        </w:r>
        <w:r w:rsidR="00D37047">
          <w:t>26</w:t>
        </w:r>
        <w:r w:rsidR="00D37047">
          <w:fldChar w:fldCharType="end"/>
        </w:r>
      </w:hyperlink>
    </w:p>
    <w:p w:rsidR="00CE5995" w:rsidRDefault="004D30B0">
      <w:pPr>
        <w:pStyle w:val="TOC2"/>
        <w:tabs>
          <w:tab w:val="right" w:leader="dot" w:pos="9360"/>
        </w:tabs>
      </w:pPr>
      <w:hyperlink w:anchor="_Toc3613" w:history="1">
        <w:r w:rsidR="00D37047">
          <w:rPr>
            <w:rFonts w:ascii="Rockwell" w:hAnsi="Rockwell" w:cs="Rockwell"/>
            <w:szCs w:val="24"/>
          </w:rPr>
          <w:t>3.2.15 Post-Mining Land Use and Closure Objectives</w:t>
        </w:r>
        <w:r w:rsidR="00D37047">
          <w:tab/>
        </w:r>
        <w:r w:rsidR="00D37047">
          <w:fldChar w:fldCharType="begin"/>
        </w:r>
        <w:r w:rsidR="00D37047">
          <w:instrText xml:space="preserve"> PAGEREF _Toc3613 </w:instrText>
        </w:r>
        <w:r w:rsidR="00D37047">
          <w:fldChar w:fldCharType="separate"/>
        </w:r>
        <w:r w:rsidR="00D37047">
          <w:t>26</w:t>
        </w:r>
        <w:r w:rsidR="00D37047">
          <w:fldChar w:fldCharType="end"/>
        </w:r>
      </w:hyperlink>
    </w:p>
    <w:p w:rsidR="00CE5995" w:rsidRDefault="004D30B0">
      <w:pPr>
        <w:pStyle w:val="TOC2"/>
        <w:tabs>
          <w:tab w:val="right" w:leader="dot" w:pos="9360"/>
        </w:tabs>
      </w:pPr>
      <w:hyperlink w:anchor="_Toc20158" w:history="1">
        <w:r w:rsidR="00D37047">
          <w:rPr>
            <w:rFonts w:ascii="Rockwell" w:hAnsi="Rockwell" w:cs="Rockwell"/>
            <w:szCs w:val="24"/>
          </w:rPr>
          <w:t>3.2.16. Identification of Closure Obligations and Commitments</w:t>
        </w:r>
        <w:r w:rsidR="00D37047">
          <w:tab/>
        </w:r>
        <w:r w:rsidR="00D37047">
          <w:fldChar w:fldCharType="begin"/>
        </w:r>
        <w:r w:rsidR="00D37047">
          <w:instrText xml:space="preserve"> PAGEREF _Toc20158 </w:instrText>
        </w:r>
        <w:r w:rsidR="00D37047">
          <w:fldChar w:fldCharType="separate"/>
        </w:r>
        <w:r w:rsidR="00D37047">
          <w:t>27</w:t>
        </w:r>
        <w:r w:rsidR="00D37047">
          <w:fldChar w:fldCharType="end"/>
        </w:r>
      </w:hyperlink>
    </w:p>
    <w:p w:rsidR="00CE5995" w:rsidRDefault="004D30B0">
      <w:pPr>
        <w:pStyle w:val="TOC2"/>
        <w:tabs>
          <w:tab w:val="right" w:leader="dot" w:pos="9360"/>
        </w:tabs>
      </w:pPr>
      <w:hyperlink w:anchor="_Toc12624" w:history="1">
        <w:r w:rsidR="00D37047">
          <w:rPr>
            <w:rFonts w:ascii="Rockwell" w:hAnsi="Rockwell" w:cs="Rockwell"/>
            <w:szCs w:val="24"/>
          </w:rPr>
          <w:t>3.2.17. Engagement with the project affected persons, local communities and other Stakeholders</w:t>
        </w:r>
        <w:r w:rsidR="00D37047">
          <w:tab/>
        </w:r>
        <w:r w:rsidR="00D37047">
          <w:fldChar w:fldCharType="begin"/>
        </w:r>
        <w:r w:rsidR="00D37047">
          <w:instrText xml:space="preserve"> PAGEREF _Toc12624 </w:instrText>
        </w:r>
        <w:r w:rsidR="00D37047">
          <w:fldChar w:fldCharType="separate"/>
        </w:r>
        <w:r w:rsidR="00D37047">
          <w:t>27</w:t>
        </w:r>
        <w:r w:rsidR="00D37047">
          <w:fldChar w:fldCharType="end"/>
        </w:r>
      </w:hyperlink>
    </w:p>
    <w:p w:rsidR="00CE5995" w:rsidRDefault="004D30B0">
      <w:pPr>
        <w:pStyle w:val="TOC2"/>
        <w:tabs>
          <w:tab w:val="right" w:leader="dot" w:pos="9360"/>
        </w:tabs>
      </w:pPr>
      <w:hyperlink w:anchor="_Toc24421" w:history="1">
        <w:r w:rsidR="00D37047">
          <w:rPr>
            <w:rFonts w:ascii="Rockwell" w:hAnsi="Rockwell" w:cs="Rockwell"/>
            <w:szCs w:val="24"/>
          </w:rPr>
          <w:t>3.2.18. Post closure Audits and Monitoring responsibilities</w:t>
        </w:r>
        <w:r w:rsidR="00D37047">
          <w:tab/>
        </w:r>
        <w:r w:rsidR="00D37047">
          <w:fldChar w:fldCharType="begin"/>
        </w:r>
        <w:r w:rsidR="00D37047">
          <w:instrText xml:space="preserve"> PAGEREF _Toc24421 </w:instrText>
        </w:r>
        <w:r w:rsidR="00D37047">
          <w:fldChar w:fldCharType="separate"/>
        </w:r>
        <w:r w:rsidR="00D37047">
          <w:t>28</w:t>
        </w:r>
        <w:r w:rsidR="00D37047">
          <w:fldChar w:fldCharType="end"/>
        </w:r>
      </w:hyperlink>
    </w:p>
    <w:p w:rsidR="00CE5995" w:rsidRDefault="004D30B0">
      <w:pPr>
        <w:pStyle w:val="TOC2"/>
        <w:tabs>
          <w:tab w:val="right" w:leader="dot" w:pos="9360"/>
        </w:tabs>
      </w:pPr>
      <w:hyperlink w:anchor="_Toc18997" w:history="1">
        <w:r w:rsidR="00D37047">
          <w:rPr>
            <w:rFonts w:ascii="Rockwell" w:hAnsi="Rockwell" w:cs="Rockwell"/>
            <w:szCs w:val="24"/>
          </w:rPr>
          <w:t>3.2.19. Financial Provision for Closure</w:t>
        </w:r>
        <w:r w:rsidR="00D37047">
          <w:tab/>
        </w:r>
        <w:r w:rsidR="00D37047">
          <w:fldChar w:fldCharType="begin"/>
        </w:r>
        <w:r w:rsidR="00D37047">
          <w:instrText xml:space="preserve"> PAGEREF _Toc18997 </w:instrText>
        </w:r>
        <w:r w:rsidR="00D37047">
          <w:fldChar w:fldCharType="separate"/>
        </w:r>
        <w:r w:rsidR="00D37047">
          <w:t>29</w:t>
        </w:r>
        <w:r w:rsidR="00D37047">
          <w:fldChar w:fldCharType="end"/>
        </w:r>
      </w:hyperlink>
    </w:p>
    <w:p w:rsidR="00CE5995" w:rsidRDefault="004D30B0">
      <w:pPr>
        <w:pStyle w:val="TOC1"/>
        <w:tabs>
          <w:tab w:val="right" w:leader="dot" w:pos="9360"/>
        </w:tabs>
      </w:pPr>
      <w:hyperlink w:anchor="_Toc1864" w:history="1">
        <w:r w:rsidR="00D37047">
          <w:rPr>
            <w:rFonts w:ascii="Rockwell" w:hAnsi="Rockwell" w:cs="Rockwell"/>
            <w:szCs w:val="24"/>
          </w:rPr>
          <w:t>3.3  Review of Mine decommissioning and rehabilitation plan</w:t>
        </w:r>
        <w:r w:rsidR="00D37047">
          <w:tab/>
        </w:r>
        <w:r w:rsidR="00D37047">
          <w:fldChar w:fldCharType="begin"/>
        </w:r>
        <w:r w:rsidR="00D37047">
          <w:instrText xml:space="preserve"> PAGEREF _Toc1864 </w:instrText>
        </w:r>
        <w:r w:rsidR="00D37047">
          <w:fldChar w:fldCharType="separate"/>
        </w:r>
        <w:r w:rsidR="00D37047">
          <w:t>30</w:t>
        </w:r>
        <w:r w:rsidR="00D37047">
          <w:fldChar w:fldCharType="end"/>
        </w:r>
      </w:hyperlink>
    </w:p>
    <w:p w:rsidR="00CE5995" w:rsidRDefault="00D37047">
      <w:pPr>
        <w:pStyle w:val="Heading1"/>
        <w:spacing w:line="360" w:lineRule="auto"/>
        <w:jc w:val="both"/>
        <w:rPr>
          <w:rFonts w:ascii="Rockwell" w:hAnsi="Rockwell" w:cs="Rockwell"/>
          <w:b/>
          <w:bCs/>
          <w:sz w:val="24"/>
          <w:szCs w:val="24"/>
        </w:rPr>
      </w:pPr>
      <w:r>
        <w:rPr>
          <w:rFonts w:ascii="Rockwell" w:hAnsi="Rockwell" w:cs="Rockwell"/>
          <w:b/>
          <w:bCs/>
          <w:sz w:val="24"/>
          <w:szCs w:val="24"/>
        </w:rPr>
        <w:fldChar w:fldCharType="end"/>
      </w:r>
      <w:bookmarkStart w:id="16" w:name="_Toc425693"/>
    </w:p>
    <w:bookmarkEnd w:id="16"/>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D37047">
      <w:pPr>
        <w:tabs>
          <w:tab w:val="left" w:pos="720"/>
        </w:tabs>
        <w:spacing w:line="360" w:lineRule="auto"/>
        <w:jc w:val="both"/>
        <w:outlineLvl w:val="0"/>
        <w:rPr>
          <w:rFonts w:ascii="Rockwell" w:hAnsi="Rockwell" w:cs="Rockwell"/>
          <w:b/>
          <w:sz w:val="24"/>
          <w:szCs w:val="24"/>
          <w:lang w:val="en-GB"/>
        </w:rPr>
      </w:pPr>
      <w:bookmarkStart w:id="17" w:name="_Toc19783"/>
      <w:bookmarkStart w:id="18" w:name="_Toc14447"/>
      <w:bookmarkStart w:id="19" w:name="_Toc24552"/>
      <w:r>
        <w:rPr>
          <w:rFonts w:ascii="Rockwell" w:hAnsi="Rockwell" w:cs="Rockwell"/>
          <w:b/>
          <w:sz w:val="24"/>
          <w:szCs w:val="24"/>
          <w:lang w:val="en-GB"/>
        </w:rPr>
        <w:lastRenderedPageBreak/>
        <w:t>ACRONYMS</w:t>
      </w:r>
      <w:bookmarkEnd w:id="17"/>
      <w:bookmarkEnd w:id="18"/>
      <w:bookmarkEnd w:id="19"/>
    </w:p>
    <w:p w:rsidR="00CE5995" w:rsidRPr="00060D18" w:rsidRDefault="00060D18">
      <w:pPr>
        <w:tabs>
          <w:tab w:val="left" w:pos="720"/>
        </w:tabs>
        <w:spacing w:line="360" w:lineRule="auto"/>
        <w:jc w:val="both"/>
        <w:rPr>
          <w:rFonts w:ascii="Rockwell" w:hAnsi="Rockwell" w:cs="Rockwell"/>
          <w:b/>
          <w:sz w:val="24"/>
          <w:szCs w:val="24"/>
          <w:lang w:val="en-GB"/>
        </w:rPr>
      </w:pPr>
      <w:r w:rsidRPr="00060D18">
        <w:rPr>
          <w:rFonts w:ascii="Rockwell" w:hAnsi="Rockwell" w:cs="Rockwell"/>
          <w:b/>
          <w:sz w:val="24"/>
          <w:szCs w:val="24"/>
          <w:lang w:val="en-GB"/>
        </w:rPr>
        <w:t>ASM – Artisanal and Small-scale Miners</w:t>
      </w:r>
    </w:p>
    <w:p w:rsidR="00CE5995" w:rsidRDefault="00D37047">
      <w:pPr>
        <w:jc w:val="both"/>
        <w:rPr>
          <w:rFonts w:ascii="Rockwell" w:eastAsia="Times-Roman" w:hAnsi="Rockwell" w:cs="Rockwell"/>
          <w:b/>
          <w:bCs/>
          <w:sz w:val="24"/>
          <w:szCs w:val="24"/>
        </w:rPr>
      </w:pPr>
      <w:r>
        <w:rPr>
          <w:rFonts w:ascii="Rockwell" w:eastAsia="Times-Roman" w:hAnsi="Rockwell" w:cs="Rockwell"/>
          <w:b/>
          <w:bCs/>
          <w:sz w:val="24"/>
          <w:szCs w:val="24"/>
        </w:rPr>
        <w:t>COK - Constitution of Kenya, 2010</w:t>
      </w:r>
    </w:p>
    <w:p w:rsidR="00CE5995" w:rsidRDefault="00D37047">
      <w:pPr>
        <w:jc w:val="both"/>
        <w:rPr>
          <w:rFonts w:ascii="Rockwell" w:eastAsia="Times-Roman" w:hAnsi="Rockwell" w:cs="Rockwell"/>
          <w:b/>
          <w:bCs/>
          <w:sz w:val="24"/>
          <w:szCs w:val="24"/>
          <w:lang w:val="en-GB"/>
        </w:rPr>
      </w:pPr>
      <w:r>
        <w:rPr>
          <w:rFonts w:ascii="Rockwell" w:eastAsia="Times-Roman" w:hAnsi="Rockwell" w:cs="Rockwell"/>
          <w:b/>
          <w:bCs/>
          <w:sz w:val="24"/>
          <w:szCs w:val="24"/>
          <w:lang w:val="en-GB"/>
        </w:rPr>
        <w:t xml:space="preserve">CSO </w:t>
      </w:r>
      <w:r>
        <w:rPr>
          <w:rFonts w:ascii="Rockwell" w:eastAsia="Times-Roman" w:hAnsi="Rockwell" w:cs="Rockwell"/>
          <w:b/>
          <w:bCs/>
          <w:sz w:val="24"/>
          <w:szCs w:val="24"/>
          <w:lang w:val="en-GB"/>
        </w:rPr>
        <w:tab/>
        <w:t>- Civil Society Organizations</w:t>
      </w:r>
    </w:p>
    <w:p w:rsidR="00247710" w:rsidRDefault="00247710" w:rsidP="00247710">
      <w:pPr>
        <w:jc w:val="both"/>
        <w:rPr>
          <w:rFonts w:ascii="Rockwell" w:eastAsia="Times-Roman" w:hAnsi="Rockwell" w:cs="Rockwell"/>
          <w:b/>
          <w:bCs/>
          <w:sz w:val="24"/>
          <w:szCs w:val="24"/>
        </w:rPr>
      </w:pPr>
      <w:r>
        <w:rPr>
          <w:rFonts w:ascii="Rockwell" w:eastAsia="Times-Roman" w:hAnsi="Rockwell" w:cs="Rockwell"/>
          <w:b/>
          <w:bCs/>
          <w:sz w:val="24"/>
          <w:szCs w:val="24"/>
        </w:rPr>
        <w:t>DOM</w:t>
      </w:r>
      <w:r>
        <w:rPr>
          <w:rFonts w:ascii="Rockwell" w:eastAsia="Times-Roman" w:hAnsi="Rockwell" w:cs="Rockwell"/>
          <w:b/>
          <w:bCs/>
          <w:sz w:val="24"/>
          <w:szCs w:val="24"/>
        </w:rPr>
        <w:tab/>
        <w:t>- Directorate of Mines</w:t>
      </w:r>
    </w:p>
    <w:p w:rsidR="00247710" w:rsidRDefault="00247710" w:rsidP="00247710">
      <w:pPr>
        <w:jc w:val="both"/>
        <w:rPr>
          <w:rFonts w:ascii="Rockwell" w:eastAsia="Times-Roman" w:hAnsi="Rockwell" w:cs="Rockwell"/>
          <w:b/>
          <w:bCs/>
          <w:sz w:val="24"/>
          <w:szCs w:val="24"/>
          <w:lang w:val="en-GB"/>
        </w:rPr>
      </w:pPr>
      <w:proofErr w:type="spellStart"/>
      <w:r>
        <w:rPr>
          <w:rFonts w:ascii="Rockwell" w:eastAsia="Times-Roman" w:hAnsi="Rockwell" w:cs="Rockwell"/>
          <w:b/>
          <w:bCs/>
          <w:sz w:val="24"/>
          <w:szCs w:val="24"/>
        </w:rPr>
        <w:t>DoGS</w:t>
      </w:r>
      <w:proofErr w:type="spellEnd"/>
      <w:r>
        <w:rPr>
          <w:rFonts w:ascii="Rockwell" w:eastAsia="Times-Roman" w:hAnsi="Rockwell" w:cs="Rockwell"/>
          <w:b/>
          <w:bCs/>
          <w:sz w:val="24"/>
          <w:szCs w:val="24"/>
        </w:rPr>
        <w:tab/>
        <w:t>- D</w:t>
      </w:r>
      <w:proofErr w:type="spellStart"/>
      <w:r>
        <w:rPr>
          <w:rFonts w:ascii="Rockwell" w:eastAsia="Times-Roman" w:hAnsi="Rockwell" w:cs="Rockwell"/>
          <w:b/>
          <w:bCs/>
          <w:sz w:val="24"/>
          <w:szCs w:val="24"/>
          <w:lang w:val="en-GB"/>
        </w:rPr>
        <w:t>irectorate</w:t>
      </w:r>
      <w:proofErr w:type="spellEnd"/>
      <w:r>
        <w:rPr>
          <w:rFonts w:ascii="Rockwell" w:eastAsia="Times-Roman" w:hAnsi="Rockwell" w:cs="Rockwell"/>
          <w:b/>
          <w:bCs/>
          <w:sz w:val="24"/>
          <w:szCs w:val="24"/>
          <w:lang w:val="en-GB"/>
        </w:rPr>
        <w:t xml:space="preserve"> </w:t>
      </w:r>
      <w:r>
        <w:rPr>
          <w:rFonts w:ascii="Rockwell" w:eastAsia="Times-Roman" w:hAnsi="Rockwell" w:cs="Rockwell"/>
          <w:b/>
          <w:bCs/>
          <w:sz w:val="24"/>
          <w:szCs w:val="24"/>
        </w:rPr>
        <w:t>of Geological Survey</w:t>
      </w:r>
      <w:r>
        <w:rPr>
          <w:rFonts w:ascii="Rockwell" w:eastAsia="Times-Roman" w:hAnsi="Rockwell" w:cs="Rockwell"/>
          <w:b/>
          <w:bCs/>
          <w:sz w:val="24"/>
          <w:szCs w:val="24"/>
          <w:lang w:val="en-GB"/>
        </w:rPr>
        <w:t>s</w:t>
      </w:r>
    </w:p>
    <w:p w:rsidR="00247710" w:rsidRDefault="00247710" w:rsidP="00247710">
      <w:pPr>
        <w:jc w:val="both"/>
        <w:rPr>
          <w:rFonts w:ascii="Rockwell" w:eastAsia="Times-Roman" w:hAnsi="Rockwell" w:cs="Rockwell"/>
          <w:b/>
          <w:bCs/>
          <w:sz w:val="24"/>
          <w:szCs w:val="24"/>
        </w:rPr>
      </w:pPr>
      <w:proofErr w:type="spellStart"/>
      <w:r>
        <w:rPr>
          <w:rFonts w:ascii="Rockwell" w:eastAsia="Times-Roman" w:hAnsi="Rockwell" w:cs="Rockwell"/>
          <w:b/>
          <w:bCs/>
          <w:sz w:val="24"/>
          <w:szCs w:val="24"/>
        </w:rPr>
        <w:t>DoMP&amp;VA</w:t>
      </w:r>
      <w:proofErr w:type="spellEnd"/>
      <w:r>
        <w:rPr>
          <w:rFonts w:ascii="Rockwell" w:eastAsia="Times-Roman" w:hAnsi="Rockwell" w:cs="Rockwell"/>
          <w:b/>
          <w:bCs/>
          <w:sz w:val="24"/>
          <w:szCs w:val="24"/>
        </w:rPr>
        <w:tab/>
        <w:t>D</w:t>
      </w:r>
      <w:proofErr w:type="spellStart"/>
      <w:r>
        <w:rPr>
          <w:rFonts w:ascii="Rockwell" w:eastAsia="Times-Roman" w:hAnsi="Rockwell" w:cs="Rockwell"/>
          <w:b/>
          <w:bCs/>
          <w:sz w:val="24"/>
          <w:szCs w:val="24"/>
          <w:lang w:val="en-GB"/>
        </w:rPr>
        <w:t>irectorate</w:t>
      </w:r>
      <w:proofErr w:type="spellEnd"/>
      <w:r>
        <w:rPr>
          <w:rFonts w:ascii="Rockwell" w:eastAsia="Times-Roman" w:hAnsi="Rockwell" w:cs="Rockwell"/>
          <w:b/>
          <w:bCs/>
          <w:sz w:val="24"/>
          <w:szCs w:val="24"/>
        </w:rPr>
        <w:t xml:space="preserve"> of Mineral Pro</w:t>
      </w:r>
      <w:r>
        <w:rPr>
          <w:rFonts w:ascii="Rockwell" w:eastAsia="Times-Roman" w:hAnsi="Rockwell" w:cs="Rockwell"/>
          <w:b/>
          <w:bCs/>
          <w:sz w:val="24"/>
          <w:szCs w:val="24"/>
          <w:lang w:val="en-GB"/>
        </w:rPr>
        <w:t xml:space="preserve">motion </w:t>
      </w:r>
      <w:r>
        <w:rPr>
          <w:rFonts w:ascii="Rockwell" w:eastAsia="Times-Roman" w:hAnsi="Rockwell" w:cs="Rockwell"/>
          <w:b/>
          <w:bCs/>
          <w:sz w:val="24"/>
          <w:szCs w:val="24"/>
        </w:rPr>
        <w:t>and Value Addition</w:t>
      </w:r>
    </w:p>
    <w:p w:rsidR="00CE5995" w:rsidRDefault="00D37047">
      <w:pPr>
        <w:jc w:val="both"/>
        <w:rPr>
          <w:rFonts w:ascii="Rockwell" w:eastAsia="Times-Roman" w:hAnsi="Rockwell" w:cs="Rockwell"/>
          <w:b/>
          <w:bCs/>
          <w:sz w:val="24"/>
          <w:szCs w:val="24"/>
        </w:rPr>
      </w:pPr>
      <w:r>
        <w:rPr>
          <w:rFonts w:ascii="Rockwell" w:eastAsia="Times-Roman" w:hAnsi="Rockwell" w:cs="Rockwell"/>
          <w:b/>
          <w:bCs/>
          <w:sz w:val="24"/>
          <w:szCs w:val="24"/>
        </w:rPr>
        <w:t>EA - Environmental Audit</w:t>
      </w:r>
    </w:p>
    <w:p w:rsidR="00CE5995" w:rsidRDefault="00D37047">
      <w:pPr>
        <w:jc w:val="both"/>
        <w:rPr>
          <w:rFonts w:ascii="Rockwell" w:eastAsia="Times-Roman" w:hAnsi="Rockwell" w:cs="Rockwell"/>
          <w:b/>
          <w:bCs/>
          <w:sz w:val="24"/>
          <w:szCs w:val="24"/>
        </w:rPr>
      </w:pPr>
      <w:r>
        <w:rPr>
          <w:rFonts w:ascii="Rockwell" w:eastAsia="Times-Roman" w:hAnsi="Rockwell" w:cs="Rockwell"/>
          <w:b/>
          <w:bCs/>
          <w:sz w:val="24"/>
          <w:szCs w:val="24"/>
        </w:rPr>
        <w:t>EMCA - Environmental Management and Coordination Act, 1999</w:t>
      </w:r>
    </w:p>
    <w:p w:rsidR="00060D18" w:rsidRDefault="00060D18">
      <w:pPr>
        <w:jc w:val="both"/>
        <w:rPr>
          <w:rFonts w:ascii="Rockwell" w:eastAsia="Times-Roman" w:hAnsi="Rockwell" w:cs="Rockwell"/>
          <w:b/>
          <w:bCs/>
          <w:sz w:val="24"/>
          <w:szCs w:val="24"/>
          <w:lang w:val="en-GB"/>
        </w:rPr>
      </w:pPr>
      <w:r>
        <w:rPr>
          <w:rFonts w:ascii="Rockwell" w:eastAsia="Times-Roman" w:hAnsi="Rockwell" w:cs="Rockwell"/>
          <w:b/>
          <w:bCs/>
          <w:sz w:val="24"/>
          <w:szCs w:val="24"/>
          <w:lang w:val="en-GB"/>
        </w:rPr>
        <w:t>MDCAs – Ministries, Departments, Counties and Agencies</w:t>
      </w:r>
    </w:p>
    <w:p w:rsidR="001A1FC0" w:rsidRPr="001A1FC0" w:rsidRDefault="001A1FC0">
      <w:pPr>
        <w:jc w:val="both"/>
        <w:rPr>
          <w:rFonts w:ascii="Rockwell" w:eastAsia="Times-Roman" w:hAnsi="Rockwell" w:cs="Rockwell"/>
          <w:b/>
          <w:bCs/>
          <w:sz w:val="24"/>
          <w:szCs w:val="24"/>
          <w:lang w:val="en-GB"/>
        </w:rPr>
      </w:pPr>
      <w:proofErr w:type="gramStart"/>
      <w:r w:rsidRPr="001A1FC0">
        <w:rPr>
          <w:rFonts w:ascii="Rockwell" w:hAnsi="Rockwell" w:cs="Rockwell"/>
          <w:b/>
          <w:bCs/>
        </w:rPr>
        <w:t>MOH  -</w:t>
      </w:r>
      <w:proofErr w:type="gramEnd"/>
      <w:r w:rsidRPr="001A1FC0">
        <w:rPr>
          <w:rFonts w:ascii="Rockwell" w:hAnsi="Rockwell" w:cs="Rockwell"/>
          <w:b/>
          <w:bCs/>
        </w:rPr>
        <w:t xml:space="preserve"> Ministry of Health </w:t>
      </w:r>
    </w:p>
    <w:p w:rsidR="00CE5995" w:rsidRDefault="001A6076">
      <w:pPr>
        <w:jc w:val="both"/>
        <w:rPr>
          <w:rFonts w:ascii="Rockwell" w:eastAsia="Times-Roman" w:hAnsi="Rockwell" w:cs="Rockwell"/>
          <w:b/>
          <w:bCs/>
          <w:sz w:val="24"/>
          <w:szCs w:val="24"/>
        </w:rPr>
      </w:pPr>
      <w:r>
        <w:rPr>
          <w:rFonts w:ascii="Rockwell" w:eastAsia="Times-Roman" w:hAnsi="Rockwell" w:cs="Rockwell"/>
          <w:b/>
          <w:bCs/>
          <w:sz w:val="24"/>
          <w:szCs w:val="24"/>
          <w:lang w:val="en-GB"/>
        </w:rPr>
        <w:t xml:space="preserve">NEMA </w:t>
      </w:r>
      <w:r w:rsidR="00D37047">
        <w:rPr>
          <w:rFonts w:ascii="Rockwell" w:eastAsia="Times-Roman" w:hAnsi="Rockwell" w:cs="Rockwell"/>
          <w:b/>
          <w:bCs/>
          <w:sz w:val="24"/>
          <w:szCs w:val="24"/>
          <w:lang w:val="en-GB"/>
        </w:rPr>
        <w:t>- National Environment Management Authority</w:t>
      </w:r>
    </w:p>
    <w:p w:rsidR="00247710" w:rsidRDefault="00247710">
      <w:pPr>
        <w:jc w:val="both"/>
        <w:rPr>
          <w:rFonts w:ascii="Rockwell" w:eastAsia="Times-Roman" w:hAnsi="Rockwell" w:cs="Rockwell"/>
          <w:b/>
          <w:bCs/>
          <w:sz w:val="24"/>
          <w:szCs w:val="24"/>
        </w:rPr>
      </w:pPr>
      <w:r>
        <w:rPr>
          <w:rFonts w:ascii="Rockwell" w:hAnsi="Rockwell" w:cs="Rockwell"/>
          <w:bCs/>
          <w:lang w:val="en-GB"/>
        </w:rPr>
        <w:t xml:space="preserve">NMC - </w:t>
      </w:r>
      <w:r>
        <w:rPr>
          <w:rFonts w:ascii="Rockwell" w:eastAsia="Times-Roman" w:hAnsi="Rockwell" w:cs="Rockwell"/>
          <w:b/>
          <w:bCs/>
          <w:sz w:val="24"/>
          <w:szCs w:val="24"/>
          <w:lang w:val="en-GB"/>
        </w:rPr>
        <w:t>National Mining Corporation</w:t>
      </w:r>
    </w:p>
    <w:p w:rsidR="00CE5995" w:rsidRDefault="00D37047">
      <w:pPr>
        <w:jc w:val="both"/>
        <w:rPr>
          <w:rFonts w:ascii="Rockwell" w:eastAsia="Times-Roman" w:hAnsi="Rockwell" w:cs="Rockwell"/>
          <w:b/>
          <w:bCs/>
          <w:sz w:val="24"/>
          <w:szCs w:val="24"/>
        </w:rPr>
      </w:pPr>
      <w:r>
        <w:rPr>
          <w:rFonts w:ascii="Rockwell" w:eastAsia="Times-Roman" w:hAnsi="Rockwell" w:cs="Rockwell"/>
          <w:b/>
          <w:bCs/>
          <w:sz w:val="24"/>
          <w:szCs w:val="24"/>
        </w:rPr>
        <w:t xml:space="preserve">PAPs - Project Affected Persons  </w:t>
      </w:r>
    </w:p>
    <w:p w:rsidR="00FE4826" w:rsidRPr="00FE4826" w:rsidRDefault="00FE4826">
      <w:pPr>
        <w:jc w:val="both"/>
        <w:rPr>
          <w:rFonts w:ascii="Rockwell" w:eastAsia="Times-Roman" w:hAnsi="Rockwell" w:cs="Rockwell"/>
          <w:b/>
          <w:bCs/>
          <w:sz w:val="24"/>
          <w:szCs w:val="24"/>
        </w:rPr>
      </w:pPr>
      <w:r w:rsidRPr="00FE4826">
        <w:rPr>
          <w:rFonts w:ascii="Rockwell" w:hAnsi="Rockwell" w:cs="Rockwell"/>
          <w:b/>
          <w:sz w:val="24"/>
          <w:szCs w:val="24"/>
        </w:rPr>
        <w:t>PPP - Polluter-Pays Principle</w:t>
      </w:r>
    </w:p>
    <w:p w:rsidR="00CE5995" w:rsidRDefault="00D37047">
      <w:pPr>
        <w:jc w:val="both"/>
        <w:rPr>
          <w:rFonts w:ascii="Rockwell" w:eastAsia="Times-Roman" w:hAnsi="Rockwell" w:cs="Rockwell"/>
          <w:b/>
          <w:bCs/>
          <w:sz w:val="24"/>
          <w:szCs w:val="24"/>
        </w:rPr>
      </w:pPr>
      <w:r>
        <w:rPr>
          <w:rFonts w:ascii="Rockwell" w:eastAsia="Times-Roman" w:hAnsi="Rockwell" w:cs="Rockwell"/>
          <w:b/>
          <w:bCs/>
          <w:sz w:val="24"/>
          <w:szCs w:val="24"/>
        </w:rPr>
        <w:t>PPEs - Personal Protective Equipment</w:t>
      </w:r>
    </w:p>
    <w:p w:rsidR="00CE5995" w:rsidRDefault="00D37047">
      <w:pPr>
        <w:jc w:val="both"/>
        <w:rPr>
          <w:rFonts w:ascii="Rockwell" w:eastAsia="Times-Roman" w:hAnsi="Rockwell" w:cs="Rockwell"/>
          <w:b/>
          <w:bCs/>
          <w:sz w:val="24"/>
          <w:szCs w:val="24"/>
        </w:rPr>
      </w:pPr>
      <w:r>
        <w:rPr>
          <w:rFonts w:ascii="Rockwell" w:eastAsia="Times-Roman" w:hAnsi="Rockwell" w:cs="Rockwell"/>
          <w:b/>
          <w:bCs/>
          <w:sz w:val="24"/>
          <w:szCs w:val="24"/>
        </w:rPr>
        <w:t>PTC - Project Technical Committee</w:t>
      </w:r>
    </w:p>
    <w:p w:rsidR="00CE3F54" w:rsidRDefault="00CE3F54">
      <w:pPr>
        <w:jc w:val="both"/>
        <w:rPr>
          <w:rFonts w:ascii="Rockwell" w:eastAsia="Times-Roman" w:hAnsi="Rockwell" w:cs="Rockwell"/>
          <w:b/>
          <w:bCs/>
          <w:sz w:val="24"/>
          <w:szCs w:val="24"/>
        </w:rPr>
      </w:pPr>
      <w:r>
        <w:rPr>
          <w:rFonts w:ascii="Rockwell" w:eastAsia="Times-Roman" w:hAnsi="Rockwell" w:cs="Rockwell"/>
          <w:b/>
          <w:bCs/>
          <w:sz w:val="24"/>
          <w:szCs w:val="24"/>
        </w:rPr>
        <w:t xml:space="preserve">TSF </w:t>
      </w:r>
      <w:r>
        <w:rPr>
          <w:rFonts w:ascii="Rockwell" w:eastAsia="Times-Roman" w:hAnsi="Rockwell" w:cs="Rockwell"/>
          <w:b/>
          <w:bCs/>
          <w:sz w:val="24"/>
          <w:szCs w:val="24"/>
        </w:rPr>
        <w:tab/>
        <w:t>- Tailings Storage Facility</w:t>
      </w: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D37047">
      <w:pPr>
        <w:pStyle w:val="Heading1"/>
        <w:spacing w:line="360" w:lineRule="auto"/>
        <w:jc w:val="both"/>
        <w:rPr>
          <w:rFonts w:ascii="Rockwell" w:hAnsi="Rockwell" w:cs="Rockwell"/>
          <w:b/>
          <w:color w:val="auto"/>
          <w:sz w:val="24"/>
          <w:szCs w:val="24"/>
        </w:rPr>
      </w:pPr>
      <w:bookmarkStart w:id="20" w:name="_Toc425694"/>
      <w:bookmarkStart w:id="21" w:name="_Toc14154"/>
      <w:bookmarkStart w:id="22" w:name="_Toc3515"/>
      <w:bookmarkStart w:id="23" w:name="_Toc13181"/>
      <w:r>
        <w:rPr>
          <w:rFonts w:ascii="Rockwell" w:hAnsi="Rockwell" w:cs="Rockwell"/>
          <w:b/>
          <w:color w:val="auto"/>
          <w:sz w:val="24"/>
          <w:szCs w:val="24"/>
        </w:rPr>
        <w:lastRenderedPageBreak/>
        <w:t>DEFINITION OF TERMS</w:t>
      </w:r>
      <w:bookmarkEnd w:id="20"/>
      <w:bookmarkEnd w:id="21"/>
      <w:bookmarkEnd w:id="22"/>
      <w:bookmarkEnd w:id="23"/>
      <w:r>
        <w:rPr>
          <w:rFonts w:ascii="Rockwell" w:hAnsi="Rockwell" w:cs="Rockwell"/>
          <w:b/>
          <w:color w:val="auto"/>
          <w:sz w:val="24"/>
          <w:szCs w:val="24"/>
        </w:rPr>
        <w:t xml:space="preserve"> </w:t>
      </w:r>
    </w:p>
    <w:p w:rsidR="00CE5995" w:rsidRDefault="00CE5995">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Abandoned mine site</w:t>
      </w:r>
      <w:r>
        <w:rPr>
          <w:rFonts w:ascii="Rockwell" w:hAnsi="Rockwell" w:cs="Rockwell"/>
          <w:sz w:val="24"/>
          <w:szCs w:val="24"/>
        </w:rPr>
        <w:t xml:space="preserve"> - Non-operational mines where mining tenure no longer exists and the responsibility for rehabilitation cannot be allocated to any individual, company or organization responsible for the mining activities. Such sites are also called “derelict”, “orphan” or “former” mines.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lang w:val="en-GB"/>
        </w:rPr>
      </w:pPr>
      <w:r>
        <w:rPr>
          <w:rFonts w:ascii="Rockwell" w:hAnsi="Rockwell" w:cs="Rockwell"/>
          <w:b/>
          <w:bCs/>
          <w:sz w:val="24"/>
          <w:szCs w:val="24"/>
          <w:lang w:val="en-GB"/>
        </w:rPr>
        <w:t xml:space="preserve">Beneficiation- </w:t>
      </w:r>
      <w:r>
        <w:rPr>
          <w:rFonts w:ascii="Rockwell" w:hAnsi="Rockwell" w:cs="Rockwell"/>
          <w:sz w:val="24"/>
          <w:szCs w:val="24"/>
          <w:lang w:val="en-GB"/>
        </w:rPr>
        <w:t>It is any process that improves or benefits the econom</w:t>
      </w:r>
      <w:r w:rsidR="00055E63">
        <w:rPr>
          <w:rFonts w:ascii="Rockwell" w:hAnsi="Rockwell" w:cs="Rockwell"/>
          <w:sz w:val="24"/>
          <w:szCs w:val="24"/>
          <w:lang w:val="en-GB"/>
        </w:rPr>
        <w:t>ic</w:t>
      </w:r>
      <w:r>
        <w:rPr>
          <w:rFonts w:ascii="Rockwell" w:hAnsi="Rockwell" w:cs="Rockwell"/>
          <w:sz w:val="24"/>
          <w:szCs w:val="24"/>
          <w:lang w:val="en-GB"/>
        </w:rPr>
        <w:t xml:space="preserve"> value of the ore by removing the gangue (commercially valueless material) minerals which results in a higher grade product or concentrate and a waste stream or tailings</w:t>
      </w:r>
      <w:r w:rsidR="00C27F93">
        <w:rPr>
          <w:rFonts w:ascii="Rockwell" w:hAnsi="Rockwell" w:cs="Rockwell"/>
          <w:sz w:val="24"/>
          <w:szCs w:val="24"/>
          <w:lang w:val="en-GB"/>
        </w:rPr>
        <w:t>.</w:t>
      </w:r>
    </w:p>
    <w:p w:rsidR="00C27F93" w:rsidRDefault="00C27F93">
      <w:pPr>
        <w:spacing w:line="360" w:lineRule="auto"/>
        <w:jc w:val="both"/>
        <w:rPr>
          <w:rFonts w:ascii="Rockwell" w:hAnsi="Rockwell" w:cs="Rockwell"/>
          <w:sz w:val="24"/>
          <w:szCs w:val="24"/>
          <w:lang w:val="en-GB"/>
        </w:rPr>
      </w:pPr>
    </w:p>
    <w:p w:rsidR="009C21B8" w:rsidRDefault="009C21B8" w:rsidP="00C27F93">
      <w:pPr>
        <w:spacing w:line="360" w:lineRule="auto"/>
        <w:jc w:val="both"/>
        <w:rPr>
          <w:rFonts w:ascii="Rockwell" w:hAnsi="Rockwell" w:cs="Rockwell"/>
          <w:bCs/>
          <w:sz w:val="24"/>
          <w:szCs w:val="24"/>
          <w:lang w:val="en-GB"/>
        </w:rPr>
      </w:pPr>
      <w:r w:rsidRPr="00C27F93">
        <w:rPr>
          <w:rFonts w:ascii="Rockwell" w:hAnsi="Rockwell" w:cs="Rockwell"/>
          <w:b/>
          <w:bCs/>
          <w:sz w:val="24"/>
          <w:szCs w:val="24"/>
          <w:lang w:val="en-GB"/>
        </w:rPr>
        <w:t xml:space="preserve">“Biological Diversity” </w:t>
      </w:r>
      <w:r w:rsidRPr="00C27F93">
        <w:rPr>
          <w:rFonts w:ascii="Rockwell" w:hAnsi="Rockwell" w:cs="Rockwell"/>
          <w:bCs/>
          <w:sz w:val="24"/>
          <w:szCs w:val="24"/>
          <w:lang w:val="en-GB"/>
        </w:rPr>
        <w:t>means the variability among living organisms from</w:t>
      </w:r>
      <w:r w:rsidR="00C27F93">
        <w:rPr>
          <w:rFonts w:ascii="Rockwell" w:hAnsi="Rockwell" w:cs="Rockwell"/>
          <w:bCs/>
          <w:sz w:val="24"/>
          <w:szCs w:val="24"/>
          <w:lang w:val="en-GB"/>
        </w:rPr>
        <w:t xml:space="preserve"> </w:t>
      </w:r>
      <w:r w:rsidRPr="00C27F93">
        <w:rPr>
          <w:rFonts w:ascii="Rockwell" w:hAnsi="Rockwell" w:cs="Rockwell"/>
          <w:bCs/>
          <w:sz w:val="24"/>
          <w:szCs w:val="24"/>
          <w:lang w:val="en-GB"/>
        </w:rPr>
        <w:t>all sources including, terrestrial ecosystems, aquatic ecosystems and the</w:t>
      </w:r>
      <w:r w:rsidR="00C27F93">
        <w:rPr>
          <w:rFonts w:ascii="Rockwell" w:hAnsi="Rockwell" w:cs="Rockwell"/>
          <w:bCs/>
          <w:sz w:val="24"/>
          <w:szCs w:val="24"/>
          <w:lang w:val="en-GB"/>
        </w:rPr>
        <w:t xml:space="preserve"> </w:t>
      </w:r>
      <w:r w:rsidRPr="00C27F93">
        <w:rPr>
          <w:rFonts w:ascii="Rockwell" w:hAnsi="Rockwell" w:cs="Rockwell"/>
          <w:bCs/>
          <w:sz w:val="24"/>
          <w:szCs w:val="24"/>
          <w:lang w:val="en-GB"/>
        </w:rPr>
        <w:t>ecological complexes of which they are part; this includes diversity within</w:t>
      </w:r>
      <w:r w:rsidR="00C27F93">
        <w:rPr>
          <w:rFonts w:ascii="Rockwell" w:hAnsi="Rockwell" w:cs="Rockwell"/>
          <w:bCs/>
          <w:sz w:val="24"/>
          <w:szCs w:val="24"/>
          <w:lang w:val="en-GB"/>
        </w:rPr>
        <w:t xml:space="preserve"> </w:t>
      </w:r>
      <w:r w:rsidRPr="00C27F93">
        <w:rPr>
          <w:rFonts w:ascii="Rockwell" w:hAnsi="Rockwell" w:cs="Rockwell"/>
          <w:bCs/>
          <w:sz w:val="24"/>
          <w:szCs w:val="24"/>
          <w:lang w:val="en-GB"/>
        </w:rPr>
        <w:t>species, among species and of ecosystems.</w:t>
      </w:r>
    </w:p>
    <w:p w:rsidR="00C27F93" w:rsidRPr="00C27F93" w:rsidRDefault="00C27F93" w:rsidP="00C27F93">
      <w:pPr>
        <w:spacing w:line="360" w:lineRule="auto"/>
        <w:jc w:val="both"/>
        <w:rPr>
          <w:rFonts w:ascii="Rockwell" w:hAnsi="Rockwell" w:cs="Rockwell"/>
          <w:bCs/>
          <w:sz w:val="24"/>
          <w:szCs w:val="24"/>
          <w:lang w:val="en-GB"/>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Boundary of a landform</w:t>
      </w:r>
      <w:r>
        <w:rPr>
          <w:rFonts w:ascii="Rockwell" w:hAnsi="Rockwell" w:cs="Rockwell"/>
          <w:sz w:val="24"/>
          <w:szCs w:val="24"/>
        </w:rPr>
        <w:t xml:space="preserve"> - The edge of a landform is taken as being the base of the slope. This may be the battered footprint or the non-battered footprint. The footprint must not exceed the area specified in approval documentation.</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Closure</w:t>
      </w:r>
      <w:r>
        <w:rPr>
          <w:rFonts w:ascii="Rockwell" w:hAnsi="Rockwell" w:cs="Rockwell"/>
          <w:sz w:val="24"/>
          <w:szCs w:val="24"/>
        </w:rPr>
        <w:t xml:space="preserve"> - A whole-of-mine-life process, which typically culminates in tenement relinquishment. It includes decommissioning and rehabilitation.</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Contaminated, in relation to land, water or a site,</w:t>
      </w:r>
      <w:r>
        <w:rPr>
          <w:rFonts w:ascii="Rockwell" w:hAnsi="Rockwell" w:cs="Rockwell"/>
          <w:sz w:val="24"/>
          <w:szCs w:val="24"/>
        </w:rPr>
        <w:t xml:space="preserve"> - means having a substance present in or on that land, water or site at above background concentrations that presents, or has the potential to present, a risk of harm to human health, the environment or any environmental value. This definition may apply to the artificial concentration (localized accumulation) of natural substances or minerals which have the potential to present a risk of harm to human health, the environment or any environmental value through this accumulation, such as mineral processing sites or </w:t>
      </w:r>
      <w:r>
        <w:rPr>
          <w:rFonts w:ascii="Rockwell" w:hAnsi="Rockwell" w:cs="Rockwell"/>
          <w:sz w:val="24"/>
          <w:szCs w:val="24"/>
        </w:rPr>
        <w:lastRenderedPageBreak/>
        <w:t>tailings storage facilities.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Decommissioning</w:t>
      </w:r>
      <w:r>
        <w:rPr>
          <w:rFonts w:ascii="Rockwell" w:hAnsi="Rockwell" w:cs="Rockwell"/>
          <w:sz w:val="24"/>
          <w:szCs w:val="24"/>
        </w:rPr>
        <w:t xml:space="preserve"> - A process that begins near, or at, the cessation of mineral production and ends with removal of all unwanted infrastructure and services.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Key stakeholders</w:t>
      </w:r>
      <w:r>
        <w:rPr>
          <w:rFonts w:ascii="Rockwell" w:hAnsi="Rockwell" w:cs="Rockwell"/>
          <w:sz w:val="24"/>
          <w:szCs w:val="24"/>
        </w:rPr>
        <w:t xml:space="preserve"> - refers to post-mining land owners/managers and relevant regulators.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Life of mine</w:t>
      </w:r>
      <w:r>
        <w:rPr>
          <w:rFonts w:ascii="Rockwell" w:hAnsi="Rockwell" w:cs="Rockwell"/>
          <w:sz w:val="24"/>
          <w:szCs w:val="24"/>
        </w:rPr>
        <w:t xml:space="preserve"> - Expected duration of mining and processing operations.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Mineral processing facilities</w:t>
      </w:r>
      <w:r>
        <w:rPr>
          <w:rFonts w:ascii="Rockwell" w:hAnsi="Rockwell" w:cs="Rockwell"/>
          <w:sz w:val="24"/>
          <w:szCs w:val="24"/>
        </w:rPr>
        <w:t xml:space="preserve"> - Includes all processing facilities for ore treatment including crushing plants, grinding, vat leach, heap leach, dump leach and tailings disposal facilities.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lang w:val="en-GB"/>
        </w:rPr>
      </w:pPr>
      <w:r>
        <w:rPr>
          <w:rFonts w:ascii="Rockwell" w:hAnsi="Rockwell" w:cs="Rockwell"/>
          <w:b/>
          <w:bCs/>
          <w:sz w:val="24"/>
          <w:szCs w:val="24"/>
          <w:lang w:val="en-GB"/>
        </w:rPr>
        <w:t xml:space="preserve">Mineral Win - </w:t>
      </w:r>
      <w:r>
        <w:rPr>
          <w:rFonts w:ascii="Rockwell" w:hAnsi="Rockwell" w:cs="Rockwell"/>
          <w:sz w:val="24"/>
          <w:szCs w:val="24"/>
          <w:lang w:val="en-GB"/>
        </w:rPr>
        <w:t>getting or extracting a mineral from the mines</w:t>
      </w:r>
      <w:r w:rsidR="00C27F93">
        <w:rPr>
          <w:rFonts w:ascii="Rockwell" w:hAnsi="Rockwell" w:cs="Rockwell"/>
          <w:sz w:val="24"/>
          <w:szCs w:val="24"/>
          <w:lang w:val="en-GB"/>
        </w:rPr>
        <w:t>.</w:t>
      </w:r>
    </w:p>
    <w:p w:rsidR="00C27F93" w:rsidRDefault="00C27F93">
      <w:pPr>
        <w:spacing w:line="360" w:lineRule="auto"/>
        <w:jc w:val="both"/>
        <w:rPr>
          <w:rFonts w:ascii="Rockwell" w:hAnsi="Rockwell" w:cs="Rockwell"/>
          <w:sz w:val="24"/>
          <w:szCs w:val="24"/>
          <w:lang w:val="en-GB"/>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 xml:space="preserve">Pits </w:t>
      </w:r>
      <w:r>
        <w:rPr>
          <w:rFonts w:ascii="Rockwell" w:hAnsi="Rockwell" w:cs="Rockwell"/>
          <w:sz w:val="24"/>
          <w:szCs w:val="24"/>
        </w:rPr>
        <w:t xml:space="preserve">- All open excavations including active mineral rock, gravel, sand, clay, </w:t>
      </w:r>
      <w:proofErr w:type="gramStart"/>
      <w:r>
        <w:rPr>
          <w:rFonts w:ascii="Rockwell" w:hAnsi="Rockwell" w:cs="Rockwell"/>
          <w:sz w:val="24"/>
          <w:szCs w:val="24"/>
        </w:rPr>
        <w:t>bauxite</w:t>
      </w:r>
      <w:proofErr w:type="gramEnd"/>
      <w:r>
        <w:rPr>
          <w:rFonts w:ascii="Rockwell" w:hAnsi="Rockwell" w:cs="Rockwell"/>
          <w:sz w:val="24"/>
          <w:szCs w:val="24"/>
        </w:rPr>
        <w:t xml:space="preserve"> and salt-pan extraction areas.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Post-mining land use</w:t>
      </w:r>
      <w:r>
        <w:rPr>
          <w:rFonts w:ascii="Rockwell" w:hAnsi="Rockwell" w:cs="Rockwell"/>
          <w:sz w:val="24"/>
          <w:szCs w:val="24"/>
        </w:rPr>
        <w:t xml:space="preserve"> - Term used to describe a land use that occurs after the cessation of mining operations.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Rehabilitation</w:t>
      </w:r>
      <w:r>
        <w:rPr>
          <w:rFonts w:ascii="Rockwell" w:hAnsi="Rockwell" w:cs="Rockwell"/>
          <w:sz w:val="24"/>
          <w:szCs w:val="24"/>
        </w:rPr>
        <w:t xml:space="preserve"> - The return of disturbed land to a safe, stable, non-polluting/ non-contaminating landform in an ecologically sustainable manner that is productive and/or self-sustaining consistent with the agreed post-mining land use. </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bCs/>
          <w:sz w:val="24"/>
          <w:szCs w:val="24"/>
        </w:rPr>
        <w:t xml:space="preserve">Remediation - </w:t>
      </w:r>
      <w:r>
        <w:rPr>
          <w:rFonts w:ascii="Rockwell" w:hAnsi="Rockwell" w:cs="Rockwell"/>
          <w:sz w:val="24"/>
          <w:szCs w:val="24"/>
        </w:rPr>
        <w:t>Rehabilitation, clean-up, restoration, post-care, maintenance and compatible after-use activities</w:t>
      </w:r>
      <w:r w:rsidR="00C27F93">
        <w:rPr>
          <w:rFonts w:ascii="Rockwell" w:hAnsi="Rockwell" w:cs="Rockwell"/>
          <w:sz w:val="24"/>
          <w:szCs w:val="24"/>
        </w:rPr>
        <w:t>.</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 xml:space="preserve">Safe </w:t>
      </w:r>
      <w:r>
        <w:rPr>
          <w:rFonts w:ascii="Rockwell" w:hAnsi="Rockwell" w:cs="Rockwell"/>
          <w:sz w:val="24"/>
          <w:szCs w:val="24"/>
        </w:rPr>
        <w:t xml:space="preserve">- A condition where the risk of adverse effects to people, livestock, other fauna </w:t>
      </w:r>
      <w:r>
        <w:rPr>
          <w:rFonts w:ascii="Rockwell" w:hAnsi="Rockwell" w:cs="Rockwell"/>
          <w:sz w:val="24"/>
          <w:szCs w:val="24"/>
        </w:rPr>
        <w:lastRenderedPageBreak/>
        <w:t>and the environment in general has been reduced to a level acceptable to all stakeholders.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Stable</w:t>
      </w:r>
      <w:r>
        <w:rPr>
          <w:rFonts w:ascii="Rockwell" w:hAnsi="Rockwell" w:cs="Rockwell"/>
          <w:sz w:val="24"/>
          <w:szCs w:val="24"/>
        </w:rPr>
        <w:t xml:space="preserve"> - A condition where the rates of change of specified parameters meet agreed criteria.</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Stakeholder</w:t>
      </w:r>
      <w:r>
        <w:rPr>
          <w:rFonts w:ascii="Rockwell" w:hAnsi="Rockwell" w:cs="Rockwell"/>
          <w:sz w:val="24"/>
          <w:szCs w:val="24"/>
        </w:rPr>
        <w:t xml:space="preserve"> - A person, group or organization with an interest in a particular decision, either as individuals or representing a group, with the potential to influence or be affected by the process of, or outcome of, mine closure.</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bCs/>
          <w:sz w:val="24"/>
          <w:szCs w:val="24"/>
        </w:rPr>
      </w:pPr>
      <w:r>
        <w:rPr>
          <w:rFonts w:ascii="Rockwell" w:hAnsi="Rockwell" w:cs="Rockwell"/>
          <w:b/>
          <w:sz w:val="24"/>
          <w:szCs w:val="24"/>
        </w:rPr>
        <w:t xml:space="preserve">Tailings - </w:t>
      </w:r>
      <w:r>
        <w:rPr>
          <w:rFonts w:ascii="Rockwell" w:hAnsi="Rockwell" w:cs="Rockwell"/>
          <w:bCs/>
          <w:sz w:val="24"/>
          <w:szCs w:val="24"/>
        </w:rPr>
        <w:t>the materials left over after separating the valuable fraction from the uneconomic fraction (gangue) of an ore.</w:t>
      </w:r>
    </w:p>
    <w:p w:rsidR="00C27F93" w:rsidRDefault="00C27F93">
      <w:pPr>
        <w:spacing w:line="360" w:lineRule="auto"/>
        <w:jc w:val="both"/>
        <w:rPr>
          <w:rFonts w:ascii="Rockwell" w:hAnsi="Rockwell" w:cs="Rockwell"/>
          <w:b/>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 xml:space="preserve">Tailings storage facility - </w:t>
      </w:r>
      <w:r>
        <w:rPr>
          <w:rFonts w:ascii="Rockwell" w:hAnsi="Rockwell" w:cs="Rockwell"/>
          <w:sz w:val="24"/>
          <w:szCs w:val="24"/>
        </w:rPr>
        <w:t>An area used to store and consolidate tailings, and may include one or more tailings storage features.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Unacceptable liability</w:t>
      </w:r>
      <w:r>
        <w:rPr>
          <w:rFonts w:ascii="Rockwell" w:hAnsi="Rockwell" w:cs="Rockwell"/>
          <w:sz w:val="24"/>
          <w:szCs w:val="24"/>
        </w:rPr>
        <w:t xml:space="preserve"> - Closure should not lead to regulators, or the community, or landowners or land managers having to take on responsibility for ongoing management, maintenance or monitoring above that which applied before mining, or that which applied to managing land uses comparable to the agreed land uses.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Waste dumps -</w:t>
      </w:r>
      <w:r>
        <w:rPr>
          <w:rFonts w:ascii="Rockwell" w:hAnsi="Rockwell" w:cs="Rockwell"/>
          <w:sz w:val="24"/>
          <w:szCs w:val="24"/>
        </w:rPr>
        <w:t xml:space="preserve"> Includes all </w:t>
      </w:r>
      <w:proofErr w:type="spellStart"/>
      <w:r>
        <w:rPr>
          <w:rFonts w:ascii="Rockwell" w:hAnsi="Rockwell" w:cs="Rockwell"/>
          <w:sz w:val="24"/>
          <w:szCs w:val="24"/>
        </w:rPr>
        <w:t>mullock</w:t>
      </w:r>
      <w:proofErr w:type="spellEnd"/>
      <w:r>
        <w:rPr>
          <w:rFonts w:ascii="Rockwell" w:hAnsi="Rockwell" w:cs="Rockwell"/>
          <w:sz w:val="24"/>
          <w:szCs w:val="24"/>
        </w:rPr>
        <w:t xml:space="preserve"> and waste rock disposal areas (also called Overburden Storage Area, Waste Rock Landform, or Waste Rock Storage/or Area), low grade stockpiles and mineralized waste stockpiles.</w:t>
      </w:r>
    </w:p>
    <w:p w:rsidR="00CE5995" w:rsidRDefault="00CE5995">
      <w:pPr>
        <w:spacing w:line="360" w:lineRule="auto"/>
        <w:jc w:val="both"/>
        <w:rPr>
          <w:rFonts w:ascii="Rockwell" w:hAnsi="Rockwell" w:cs="Rockwell"/>
          <w:sz w:val="24"/>
          <w:szCs w:val="24"/>
        </w:rPr>
      </w:pPr>
    </w:p>
    <w:p w:rsidR="00C27F93" w:rsidRDefault="00C27F93">
      <w:pPr>
        <w:spacing w:line="360" w:lineRule="auto"/>
        <w:jc w:val="both"/>
        <w:rPr>
          <w:rFonts w:ascii="Rockwell" w:hAnsi="Rockwell" w:cs="Rockwell"/>
          <w:sz w:val="24"/>
          <w:szCs w:val="24"/>
        </w:rPr>
      </w:pPr>
    </w:p>
    <w:p w:rsidR="00C27F93" w:rsidRDefault="00C27F93">
      <w:pPr>
        <w:spacing w:line="360" w:lineRule="auto"/>
        <w:jc w:val="both"/>
        <w:rPr>
          <w:rFonts w:ascii="Rockwell" w:hAnsi="Rockwell" w:cs="Rockwell"/>
          <w:sz w:val="24"/>
          <w:szCs w:val="24"/>
        </w:rPr>
      </w:pPr>
    </w:p>
    <w:p w:rsidR="00C27F93" w:rsidRDefault="00C27F93">
      <w:pPr>
        <w:spacing w:line="360" w:lineRule="auto"/>
        <w:jc w:val="both"/>
        <w:rPr>
          <w:rFonts w:ascii="Rockwell" w:hAnsi="Rockwell" w:cs="Rockwell"/>
          <w:sz w:val="24"/>
          <w:szCs w:val="24"/>
        </w:rPr>
      </w:pPr>
    </w:p>
    <w:p w:rsidR="00C27F93" w:rsidRDefault="00C27F93">
      <w:pPr>
        <w:spacing w:line="360" w:lineRule="auto"/>
        <w:jc w:val="both"/>
        <w:rPr>
          <w:rFonts w:ascii="Rockwell" w:hAnsi="Rockwell" w:cs="Rockwell"/>
          <w:sz w:val="24"/>
          <w:szCs w:val="24"/>
        </w:rPr>
      </w:pPr>
    </w:p>
    <w:p w:rsidR="00C27F93" w:rsidRDefault="00C27F93">
      <w:pPr>
        <w:spacing w:line="360" w:lineRule="auto"/>
        <w:jc w:val="both"/>
        <w:rPr>
          <w:rFonts w:ascii="Rockwell" w:hAnsi="Rockwell" w:cs="Rockwell"/>
          <w:sz w:val="24"/>
          <w:szCs w:val="24"/>
        </w:rPr>
      </w:pPr>
    </w:p>
    <w:p w:rsidR="00CE5995" w:rsidRDefault="00D37047">
      <w:pPr>
        <w:spacing w:line="360" w:lineRule="auto"/>
        <w:jc w:val="both"/>
        <w:outlineLvl w:val="0"/>
        <w:rPr>
          <w:rFonts w:ascii="Rockwell" w:hAnsi="Rockwell" w:cs="Rockwell"/>
          <w:b/>
          <w:sz w:val="24"/>
          <w:szCs w:val="24"/>
        </w:rPr>
      </w:pPr>
      <w:bookmarkStart w:id="24" w:name="_Toc20393"/>
      <w:bookmarkStart w:id="25" w:name="_Toc24751"/>
      <w:bookmarkStart w:id="26" w:name="_Toc27204"/>
      <w:r>
        <w:rPr>
          <w:rFonts w:ascii="Rockwell" w:hAnsi="Rockwell" w:cs="Rockwell"/>
          <w:b/>
          <w:sz w:val="24"/>
          <w:szCs w:val="24"/>
        </w:rPr>
        <w:lastRenderedPageBreak/>
        <w:t>1.0 Background</w:t>
      </w:r>
      <w:bookmarkEnd w:id="24"/>
      <w:bookmarkEnd w:id="25"/>
      <w:bookmarkEnd w:id="26"/>
      <w:r>
        <w:rPr>
          <w:rFonts w:ascii="Rockwell" w:hAnsi="Rockwell" w:cs="Rockwell"/>
          <w:b/>
          <w:sz w:val="24"/>
          <w:szCs w:val="24"/>
        </w:rPr>
        <w:t xml:space="preserve"> </w:t>
      </w:r>
    </w:p>
    <w:p w:rsidR="00CE5995" w:rsidRDefault="00CE5995">
      <w:pPr>
        <w:spacing w:line="360" w:lineRule="auto"/>
        <w:jc w:val="both"/>
        <w:rPr>
          <w:rFonts w:ascii="Rockwell" w:hAnsi="Rockwell" w:cs="Rockwell"/>
          <w:b/>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Kenya is endowed with many mineral resources both metallic and non-metallic with their exploitation yet to reach peak level. It is </w:t>
      </w:r>
      <w:r w:rsidR="003E0453">
        <w:rPr>
          <w:rFonts w:ascii="Rockwell" w:hAnsi="Rockwell" w:cs="Rockwell"/>
          <w:sz w:val="24"/>
          <w:szCs w:val="24"/>
        </w:rPr>
        <w:t xml:space="preserve">a requirement </w:t>
      </w:r>
      <w:r>
        <w:rPr>
          <w:rFonts w:ascii="Rockwell" w:hAnsi="Rockwell" w:cs="Rockwell"/>
          <w:sz w:val="24"/>
          <w:szCs w:val="24"/>
        </w:rPr>
        <w:t xml:space="preserve">that the quality of the environment needs to be maintained as </w:t>
      </w:r>
      <w:r w:rsidR="003E0453">
        <w:rPr>
          <w:rFonts w:ascii="Rockwell" w:hAnsi="Rockwell" w:cs="Rockwell"/>
          <w:sz w:val="24"/>
          <w:szCs w:val="24"/>
        </w:rPr>
        <w:t>an essential sector</w:t>
      </w:r>
      <w:r>
        <w:rPr>
          <w:rFonts w:ascii="Rockwell" w:hAnsi="Rockwell" w:cs="Rockwell"/>
          <w:sz w:val="24"/>
          <w:szCs w:val="24"/>
        </w:rPr>
        <w:t xml:space="preserve"> for the </w:t>
      </w:r>
      <w:r w:rsidR="003E0453">
        <w:rPr>
          <w:rFonts w:ascii="Rockwell" w:hAnsi="Rockwell" w:cs="Rockwell"/>
          <w:sz w:val="24"/>
          <w:szCs w:val="24"/>
        </w:rPr>
        <w:t>country</w:t>
      </w:r>
      <w:r>
        <w:rPr>
          <w:rFonts w:ascii="Rockwell" w:hAnsi="Rockwell" w:cs="Rockwell"/>
          <w:sz w:val="24"/>
          <w:szCs w:val="24"/>
        </w:rPr>
        <w:t xml:space="preserve"> while undertaking the mining operations in a safe</w:t>
      </w:r>
      <w:r w:rsidR="00FE4826">
        <w:rPr>
          <w:rFonts w:ascii="Rockwell" w:hAnsi="Rockwell" w:cs="Rockwell"/>
          <w:sz w:val="24"/>
          <w:szCs w:val="24"/>
        </w:rPr>
        <w:t>, clean</w:t>
      </w:r>
      <w:r>
        <w:rPr>
          <w:rFonts w:ascii="Rockwell" w:hAnsi="Rockwell" w:cs="Rockwell"/>
          <w:sz w:val="24"/>
          <w:szCs w:val="24"/>
        </w:rPr>
        <w:t xml:space="preserve"> and </w:t>
      </w:r>
      <w:r w:rsidR="00FE4826">
        <w:rPr>
          <w:rFonts w:ascii="Rockwell" w:hAnsi="Rockwell" w:cs="Rockwell"/>
          <w:sz w:val="24"/>
          <w:szCs w:val="24"/>
        </w:rPr>
        <w:t xml:space="preserve">healthy </w:t>
      </w:r>
      <w:r>
        <w:rPr>
          <w:rFonts w:ascii="Rockwell" w:hAnsi="Rockwell" w:cs="Rockwell"/>
          <w:sz w:val="24"/>
          <w:szCs w:val="24"/>
        </w:rPr>
        <w:t>environment by the mine owners. This is significant in view of upcoming new developments in the mining sector and considering that the Government of Kenya has recognized it as a key player for Vision 2030 and the Sustainable Development Goals (SDGs).</w:t>
      </w:r>
    </w:p>
    <w:p w:rsidR="00CE5995" w:rsidRDefault="00CE5995">
      <w:pPr>
        <w:spacing w:line="360" w:lineRule="auto"/>
        <w:jc w:val="both"/>
        <w:rPr>
          <w:rFonts w:ascii="Rockwell" w:hAnsi="Rockwell" w:cs="Rockwell"/>
          <w:sz w:val="24"/>
          <w:szCs w:val="24"/>
        </w:rPr>
      </w:pPr>
    </w:p>
    <w:p w:rsidR="00CE5995" w:rsidRDefault="00313495">
      <w:pPr>
        <w:spacing w:line="360" w:lineRule="auto"/>
        <w:jc w:val="both"/>
        <w:rPr>
          <w:rFonts w:ascii="Rockwell" w:hAnsi="Rockwell" w:cs="Rockwell"/>
          <w:sz w:val="24"/>
          <w:szCs w:val="24"/>
        </w:rPr>
      </w:pPr>
      <w:r>
        <w:rPr>
          <w:rFonts w:ascii="Rockwell" w:hAnsi="Rockwell" w:cs="Rockwell"/>
          <w:sz w:val="24"/>
          <w:szCs w:val="24"/>
        </w:rPr>
        <w:t xml:space="preserve">Failure by mine operators to undertake decommissioning and rehabilitation </w:t>
      </w:r>
      <w:r w:rsidR="00D37047">
        <w:rPr>
          <w:rFonts w:ascii="Rockwell" w:hAnsi="Rockwell" w:cs="Rockwell"/>
          <w:sz w:val="24"/>
          <w:szCs w:val="24"/>
        </w:rPr>
        <w:t>has negatively affected the sector. It portrays the sector in a negative light to the community due to the abandoned mines which often leave scars on the environment resulting into endangerment of the communit</w:t>
      </w:r>
      <w:r w:rsidR="0077158C">
        <w:rPr>
          <w:rFonts w:ascii="Rockwell" w:hAnsi="Rockwell" w:cs="Rockwell"/>
          <w:sz w:val="24"/>
          <w:szCs w:val="24"/>
        </w:rPr>
        <w:t xml:space="preserve">y health and their property. This has justified the </w:t>
      </w:r>
      <w:r w:rsidR="00D37047">
        <w:rPr>
          <w:rFonts w:ascii="Rockwell" w:hAnsi="Rockwell" w:cs="Rockwell"/>
          <w:sz w:val="24"/>
          <w:szCs w:val="24"/>
        </w:rPr>
        <w:t xml:space="preserve">need for development of </w:t>
      </w:r>
      <w:r>
        <w:rPr>
          <w:rFonts w:ascii="Rockwell" w:hAnsi="Rockwell" w:cs="Rockwell"/>
          <w:sz w:val="24"/>
          <w:szCs w:val="24"/>
          <w:lang w:val="en-GB"/>
        </w:rPr>
        <w:t>Guideline</w:t>
      </w:r>
      <w:r w:rsidR="00D37047">
        <w:rPr>
          <w:rFonts w:ascii="Rockwell" w:hAnsi="Rockwell" w:cs="Rockwell"/>
          <w:sz w:val="24"/>
          <w:szCs w:val="24"/>
        </w:rPr>
        <w:t xml:space="preserve"> for mine site closure, decommissioning and rehabilitation that should help the sector grow in an environmentally sustainable way for </w:t>
      </w:r>
      <w:r w:rsidR="0077158C">
        <w:rPr>
          <w:rFonts w:ascii="Rockwell" w:hAnsi="Rockwell" w:cs="Rockwell"/>
          <w:sz w:val="24"/>
          <w:szCs w:val="24"/>
        </w:rPr>
        <w:t>wealth creation.</w:t>
      </w:r>
      <w:r w:rsidR="00D37047">
        <w:rPr>
          <w:rFonts w:ascii="Rockwell" w:hAnsi="Rockwell" w:cs="Rockwell"/>
          <w:sz w:val="24"/>
          <w:szCs w:val="24"/>
        </w:rPr>
        <w:t xml:space="preserve"> </w:t>
      </w:r>
    </w:p>
    <w:p w:rsidR="00CE5995" w:rsidRDefault="00CE5995">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National Environme</w:t>
      </w:r>
      <w:r w:rsidR="0077158C">
        <w:rPr>
          <w:rFonts w:ascii="Rockwell" w:hAnsi="Rockwell" w:cs="Rockwell"/>
          <w:sz w:val="24"/>
          <w:szCs w:val="24"/>
        </w:rPr>
        <w:t xml:space="preserve">nt Management Authority (NEMA) </w:t>
      </w:r>
      <w:r>
        <w:rPr>
          <w:rFonts w:ascii="Rockwell" w:hAnsi="Rockwell" w:cs="Rockwell"/>
          <w:sz w:val="24"/>
          <w:szCs w:val="24"/>
        </w:rPr>
        <w:t>recognizes there is need for environmental restoration at the end of life of a mine with a view to e</w:t>
      </w:r>
      <w:r w:rsidR="0077158C">
        <w:rPr>
          <w:rFonts w:ascii="Rockwell" w:hAnsi="Rockwell" w:cs="Rockwell"/>
          <w:sz w:val="24"/>
          <w:szCs w:val="24"/>
        </w:rPr>
        <w:t>nvironmental sustainability</w:t>
      </w:r>
      <w:r>
        <w:rPr>
          <w:rFonts w:ascii="Rockwell" w:hAnsi="Rockwell" w:cs="Rockwell"/>
          <w:sz w:val="24"/>
          <w:szCs w:val="24"/>
        </w:rPr>
        <w:t>. As such</w:t>
      </w:r>
      <w:r w:rsidR="0077158C">
        <w:rPr>
          <w:rFonts w:ascii="Rockwell" w:hAnsi="Rockwell" w:cs="Rockwell"/>
          <w:sz w:val="24"/>
          <w:szCs w:val="24"/>
        </w:rPr>
        <w:t>,</w:t>
      </w:r>
      <w:r>
        <w:rPr>
          <w:rFonts w:ascii="Rockwell" w:hAnsi="Rockwell" w:cs="Rockwell"/>
          <w:sz w:val="24"/>
          <w:szCs w:val="24"/>
        </w:rPr>
        <w:t xml:space="preserve"> mine site decommissioning planning should be part of the mining sector objectives to ensure </w:t>
      </w:r>
      <w:r w:rsidR="0077158C">
        <w:rPr>
          <w:rFonts w:ascii="Rockwell" w:hAnsi="Rockwell" w:cs="Rockwell"/>
          <w:sz w:val="24"/>
          <w:szCs w:val="24"/>
        </w:rPr>
        <w:t>sustainability during the after-</w:t>
      </w:r>
      <w:r>
        <w:rPr>
          <w:rFonts w:ascii="Rockwell" w:hAnsi="Rockwell" w:cs="Rockwell"/>
          <w:sz w:val="24"/>
          <w:szCs w:val="24"/>
        </w:rPr>
        <w:t xml:space="preserve">use plan of the mining site. This </w:t>
      </w:r>
      <w:r w:rsidR="0077158C">
        <w:rPr>
          <w:rFonts w:ascii="Rockwell" w:hAnsi="Rockwell" w:cs="Rockwell"/>
          <w:sz w:val="24"/>
          <w:szCs w:val="24"/>
        </w:rPr>
        <w:t>requires</w:t>
      </w:r>
      <w:r>
        <w:rPr>
          <w:rFonts w:ascii="Rockwell" w:hAnsi="Rockwell" w:cs="Rockwell"/>
          <w:sz w:val="24"/>
          <w:szCs w:val="24"/>
        </w:rPr>
        <w:t xml:space="preserve"> that the environmental issues are well-thought-out throughout the mining life cycle through integration of the various </w:t>
      </w:r>
      <w:r w:rsidR="00FE4826">
        <w:rPr>
          <w:rFonts w:ascii="Rockwell" w:hAnsi="Rockwell" w:cs="Rockwell"/>
          <w:sz w:val="24"/>
          <w:szCs w:val="24"/>
        </w:rPr>
        <w:t>environmental</w:t>
      </w:r>
      <w:r>
        <w:rPr>
          <w:rFonts w:ascii="Rockwell" w:hAnsi="Rockwell" w:cs="Rockwell"/>
          <w:sz w:val="24"/>
          <w:szCs w:val="24"/>
        </w:rPr>
        <w:t xml:space="preserve"> </w:t>
      </w:r>
      <w:r w:rsidR="0077158C">
        <w:rPr>
          <w:rFonts w:ascii="Rockwell" w:hAnsi="Rockwell" w:cs="Rockwell"/>
          <w:sz w:val="24"/>
          <w:szCs w:val="24"/>
        </w:rPr>
        <w:t>principles, requirements and considerations</w:t>
      </w:r>
      <w:r>
        <w:rPr>
          <w:rFonts w:ascii="Rockwell" w:hAnsi="Rockwell" w:cs="Rockwell"/>
          <w:sz w:val="24"/>
          <w:szCs w:val="24"/>
        </w:rPr>
        <w:t xml:space="preserve"> into the mining activities includ</w:t>
      </w:r>
      <w:r w:rsidR="0077158C">
        <w:rPr>
          <w:rFonts w:ascii="Rockwell" w:hAnsi="Rockwell" w:cs="Rockwell"/>
          <w:sz w:val="24"/>
          <w:szCs w:val="24"/>
        </w:rPr>
        <w:t>ing the closure aspects. P</w:t>
      </w:r>
      <w:r>
        <w:rPr>
          <w:rFonts w:ascii="Rockwell" w:hAnsi="Rockwell" w:cs="Rockwell"/>
          <w:sz w:val="24"/>
          <w:szCs w:val="24"/>
        </w:rPr>
        <w:t>rop</w:t>
      </w:r>
      <w:r w:rsidR="0077158C">
        <w:rPr>
          <w:rFonts w:ascii="Rockwell" w:hAnsi="Rockwell" w:cs="Rockwell"/>
          <w:sz w:val="24"/>
          <w:szCs w:val="24"/>
        </w:rPr>
        <w:t>er management of the mines</w:t>
      </w:r>
      <w:r>
        <w:rPr>
          <w:rFonts w:ascii="Rockwell" w:hAnsi="Rockwell" w:cs="Rockwell"/>
          <w:sz w:val="24"/>
          <w:szCs w:val="24"/>
        </w:rPr>
        <w:t xml:space="preserve"> </w:t>
      </w:r>
      <w:r w:rsidR="0077158C">
        <w:rPr>
          <w:rFonts w:ascii="Rockwell" w:hAnsi="Rockwell" w:cs="Rockwell"/>
          <w:sz w:val="24"/>
          <w:szCs w:val="24"/>
        </w:rPr>
        <w:t xml:space="preserve">ensures that appropriate </w:t>
      </w:r>
      <w:r>
        <w:rPr>
          <w:rFonts w:ascii="Rockwell" w:hAnsi="Rockwell" w:cs="Rockwell"/>
          <w:sz w:val="24"/>
          <w:szCs w:val="24"/>
        </w:rPr>
        <w:t xml:space="preserve">mitigation </w:t>
      </w:r>
      <w:r w:rsidR="0077158C">
        <w:rPr>
          <w:rFonts w:ascii="Rockwell" w:hAnsi="Rockwell" w:cs="Rockwell"/>
          <w:sz w:val="24"/>
          <w:szCs w:val="24"/>
        </w:rPr>
        <w:t xml:space="preserve">measures </w:t>
      </w:r>
      <w:r>
        <w:rPr>
          <w:rFonts w:ascii="Rockwell" w:hAnsi="Rockwell" w:cs="Rockwell"/>
          <w:sz w:val="24"/>
          <w:szCs w:val="24"/>
        </w:rPr>
        <w:t>of potential environmenta</w:t>
      </w:r>
      <w:r w:rsidR="0077158C">
        <w:rPr>
          <w:rFonts w:ascii="Rockwell" w:hAnsi="Rockwell" w:cs="Rockwell"/>
          <w:sz w:val="24"/>
          <w:szCs w:val="24"/>
        </w:rPr>
        <w:t xml:space="preserve">l impacts and </w:t>
      </w:r>
      <w:r>
        <w:rPr>
          <w:rFonts w:ascii="Rockwell" w:hAnsi="Rockwell" w:cs="Rockwell"/>
          <w:sz w:val="24"/>
          <w:szCs w:val="24"/>
        </w:rPr>
        <w:t>human health</w:t>
      </w:r>
      <w:r w:rsidR="0077158C">
        <w:rPr>
          <w:rFonts w:ascii="Rockwell" w:hAnsi="Rockwell" w:cs="Rockwell"/>
          <w:sz w:val="24"/>
          <w:szCs w:val="24"/>
        </w:rPr>
        <w:t xml:space="preserve"> are integrated in the entire mining cycle</w:t>
      </w:r>
      <w:r>
        <w:rPr>
          <w:rFonts w:ascii="Rockwell" w:hAnsi="Rockwell" w:cs="Rockwell"/>
          <w:sz w:val="24"/>
          <w:szCs w:val="24"/>
        </w:rPr>
        <w:t xml:space="preserve">. </w:t>
      </w:r>
    </w:p>
    <w:p w:rsidR="00313495" w:rsidRDefault="00313495">
      <w:pPr>
        <w:spacing w:line="360" w:lineRule="auto"/>
        <w:jc w:val="both"/>
        <w:rPr>
          <w:rFonts w:ascii="Rockwell" w:hAnsi="Rockwell" w:cs="Rockwell"/>
          <w:sz w:val="24"/>
          <w:szCs w:val="24"/>
        </w:rPr>
      </w:pPr>
    </w:p>
    <w:p w:rsidR="004930DF" w:rsidRDefault="004930DF">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lastRenderedPageBreak/>
        <w:t>The e</w:t>
      </w:r>
      <w:r w:rsidR="003E0453">
        <w:rPr>
          <w:rFonts w:ascii="Rockwell" w:hAnsi="Rockwell" w:cs="Rockwell"/>
          <w:sz w:val="24"/>
          <w:szCs w:val="24"/>
        </w:rPr>
        <w:t xml:space="preserve">nactment </w:t>
      </w:r>
      <w:r>
        <w:rPr>
          <w:rFonts w:ascii="Rockwell" w:hAnsi="Rockwell" w:cs="Rockwell"/>
          <w:sz w:val="24"/>
          <w:szCs w:val="24"/>
        </w:rPr>
        <w:t>of EMCA, 1999</w:t>
      </w:r>
      <w:r w:rsidR="00FE4826">
        <w:rPr>
          <w:rFonts w:ascii="Rockwell" w:hAnsi="Rockwell" w:cs="Rockwell"/>
          <w:sz w:val="24"/>
          <w:szCs w:val="24"/>
        </w:rPr>
        <w:t xml:space="preserve"> and its subsidiary legislations</w:t>
      </w:r>
      <w:r>
        <w:rPr>
          <w:rFonts w:ascii="Rockwell" w:hAnsi="Rockwell" w:cs="Rockwell"/>
          <w:sz w:val="24"/>
          <w:szCs w:val="24"/>
        </w:rPr>
        <w:t xml:space="preserve"> is informed by several principles including the Polluter-</w:t>
      </w:r>
      <w:r w:rsidR="00FE4826">
        <w:rPr>
          <w:rFonts w:ascii="Rockwell" w:hAnsi="Rockwell" w:cs="Rockwell"/>
          <w:sz w:val="24"/>
          <w:szCs w:val="24"/>
        </w:rPr>
        <w:t>Pays Principle (PPP)</w:t>
      </w:r>
      <w:r>
        <w:rPr>
          <w:rFonts w:ascii="Rockwell" w:hAnsi="Rockwell" w:cs="Rockwell"/>
          <w:sz w:val="24"/>
          <w:szCs w:val="24"/>
        </w:rPr>
        <w:t xml:space="preserve">. The principle provisions that any polluter to the environment must bear full responsibility of its clean up and rehabilitation. This </w:t>
      </w:r>
      <w:r w:rsidR="004930DF">
        <w:rPr>
          <w:rFonts w:ascii="Rockwell" w:hAnsi="Rockwell" w:cs="Rockwell"/>
          <w:sz w:val="24"/>
          <w:szCs w:val="24"/>
        </w:rPr>
        <w:t xml:space="preserve">obligates the mine </w:t>
      </w:r>
      <w:r>
        <w:rPr>
          <w:rFonts w:ascii="Rockwell" w:hAnsi="Rockwell" w:cs="Rockwell"/>
          <w:sz w:val="24"/>
          <w:szCs w:val="24"/>
        </w:rPr>
        <w:t>operator</w:t>
      </w:r>
      <w:r w:rsidR="004930DF">
        <w:rPr>
          <w:rFonts w:ascii="Rockwell" w:hAnsi="Rockwell" w:cs="Rockwell"/>
          <w:sz w:val="24"/>
          <w:szCs w:val="24"/>
        </w:rPr>
        <w:t xml:space="preserve">s to </w:t>
      </w:r>
      <w:r>
        <w:rPr>
          <w:rFonts w:ascii="Rockwell" w:hAnsi="Rockwell" w:cs="Rockwell"/>
          <w:sz w:val="24"/>
          <w:szCs w:val="24"/>
        </w:rPr>
        <w:t xml:space="preserve">undertake activities such as appropriate decommissioning and rehabilitation to restore the mine site and other environmental resources within the project area. </w:t>
      </w:r>
    </w:p>
    <w:p w:rsidR="00CE5995" w:rsidRDefault="00CE5995">
      <w:pPr>
        <w:spacing w:line="360" w:lineRule="auto"/>
        <w:jc w:val="both"/>
        <w:rPr>
          <w:rFonts w:ascii="Rockwell" w:hAnsi="Rockwell" w:cs="Rockwell"/>
          <w:color w:val="FF0000"/>
          <w:sz w:val="24"/>
          <w:szCs w:val="24"/>
        </w:rPr>
      </w:pPr>
    </w:p>
    <w:p w:rsidR="00CE5995" w:rsidRDefault="00D37047">
      <w:pPr>
        <w:tabs>
          <w:tab w:val="left" w:pos="720"/>
        </w:tabs>
        <w:spacing w:line="360" w:lineRule="auto"/>
        <w:jc w:val="both"/>
        <w:outlineLvl w:val="0"/>
        <w:rPr>
          <w:rFonts w:ascii="Rockwell" w:hAnsi="Rockwell" w:cs="Rockwell"/>
          <w:b/>
          <w:sz w:val="24"/>
          <w:szCs w:val="24"/>
          <w:lang w:val="en-GB"/>
        </w:rPr>
      </w:pPr>
      <w:bookmarkStart w:id="27" w:name="_Toc7688"/>
      <w:bookmarkStart w:id="28" w:name="_Toc22970"/>
      <w:bookmarkStart w:id="29" w:name="_Toc24141"/>
      <w:r>
        <w:rPr>
          <w:rFonts w:ascii="Rockwell" w:hAnsi="Rockwell" w:cs="Rockwell"/>
          <w:b/>
          <w:sz w:val="24"/>
          <w:szCs w:val="24"/>
        </w:rPr>
        <w:t xml:space="preserve">1.1 </w:t>
      </w:r>
      <w:r w:rsidR="00B57582">
        <w:rPr>
          <w:rFonts w:ascii="Rockwell" w:hAnsi="Rockwell" w:cs="Rockwell"/>
          <w:b/>
          <w:sz w:val="24"/>
          <w:szCs w:val="24"/>
          <w:lang w:val="en-GB"/>
        </w:rPr>
        <w:t>Objective</w:t>
      </w:r>
      <w:bookmarkEnd w:id="27"/>
      <w:bookmarkEnd w:id="28"/>
      <w:bookmarkEnd w:id="29"/>
      <w:r w:rsidR="004930DF">
        <w:rPr>
          <w:rFonts w:ascii="Rockwell" w:hAnsi="Rockwell" w:cs="Rockwell"/>
          <w:b/>
          <w:sz w:val="24"/>
          <w:szCs w:val="24"/>
          <w:lang w:val="en-GB"/>
        </w:rPr>
        <w:t xml:space="preserve"> of the Guideline</w:t>
      </w: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The overall objective of the </w:t>
      </w:r>
      <w:r w:rsidR="00313495">
        <w:rPr>
          <w:rFonts w:ascii="Rockwell" w:hAnsi="Rockwell" w:cs="Rockwell"/>
          <w:sz w:val="24"/>
          <w:szCs w:val="24"/>
        </w:rPr>
        <w:t>Guideline</w:t>
      </w:r>
      <w:r>
        <w:rPr>
          <w:rFonts w:ascii="Rockwell" w:hAnsi="Rockwell" w:cs="Rockwell"/>
          <w:sz w:val="24"/>
          <w:szCs w:val="24"/>
        </w:rPr>
        <w:t xml:space="preserve"> is to assist the mining operators, </w:t>
      </w:r>
      <w:r w:rsidR="00E06204">
        <w:rPr>
          <w:rFonts w:ascii="Rockwell" w:hAnsi="Rockwell" w:cs="Rockwell"/>
          <w:sz w:val="24"/>
          <w:szCs w:val="24"/>
        </w:rPr>
        <w:t>Ministries, Departments, Counties and Agencies (MDCAs), environmental experts</w:t>
      </w:r>
      <w:r>
        <w:rPr>
          <w:rFonts w:ascii="Rockwell" w:hAnsi="Rockwell" w:cs="Rockwell"/>
          <w:sz w:val="24"/>
          <w:szCs w:val="24"/>
        </w:rPr>
        <w:t>, private sector, C</w:t>
      </w:r>
      <w:r w:rsidR="00E06204">
        <w:rPr>
          <w:rFonts w:ascii="Rockwell" w:hAnsi="Rockwell" w:cs="Rockwell"/>
          <w:sz w:val="24"/>
          <w:szCs w:val="24"/>
        </w:rPr>
        <w:t xml:space="preserve">ivil </w:t>
      </w:r>
      <w:r>
        <w:rPr>
          <w:rFonts w:ascii="Rockwell" w:hAnsi="Rockwell" w:cs="Rockwell"/>
          <w:sz w:val="24"/>
          <w:szCs w:val="24"/>
        </w:rPr>
        <w:t>S</w:t>
      </w:r>
      <w:r w:rsidR="00E06204">
        <w:rPr>
          <w:rFonts w:ascii="Rockwell" w:hAnsi="Rockwell" w:cs="Rockwell"/>
          <w:sz w:val="24"/>
          <w:szCs w:val="24"/>
        </w:rPr>
        <w:t xml:space="preserve">ociety Organizations (CSOs), </w:t>
      </w:r>
      <w:r w:rsidR="002B14C0">
        <w:rPr>
          <w:rFonts w:ascii="Rockwell" w:hAnsi="Rockwell" w:cs="Rockwell"/>
          <w:sz w:val="24"/>
          <w:szCs w:val="24"/>
        </w:rPr>
        <w:t>communities and</w:t>
      </w:r>
      <w:r w:rsidR="00E06204">
        <w:rPr>
          <w:rFonts w:ascii="Rockwell" w:hAnsi="Rockwell" w:cs="Rockwell"/>
          <w:sz w:val="24"/>
          <w:szCs w:val="24"/>
        </w:rPr>
        <w:t xml:space="preserve"> mass media </w:t>
      </w:r>
      <w:r>
        <w:rPr>
          <w:rFonts w:ascii="Rockwell" w:hAnsi="Rockwell" w:cs="Rockwell"/>
          <w:sz w:val="24"/>
          <w:szCs w:val="24"/>
        </w:rPr>
        <w:t>in ensuring that the mining sites are decommissioned and rehabilitated after the cessation of the mining op</w:t>
      </w:r>
      <w:r w:rsidR="00281187">
        <w:rPr>
          <w:rFonts w:ascii="Rockwell" w:hAnsi="Rockwell" w:cs="Rockwell"/>
          <w:sz w:val="24"/>
          <w:szCs w:val="24"/>
        </w:rPr>
        <w:t xml:space="preserve">erations. This will ensure protection of </w:t>
      </w:r>
      <w:r>
        <w:rPr>
          <w:rFonts w:ascii="Rockwell" w:hAnsi="Rockwell" w:cs="Rockwell"/>
          <w:sz w:val="24"/>
          <w:szCs w:val="24"/>
        </w:rPr>
        <w:t xml:space="preserve">the environment </w:t>
      </w:r>
      <w:r w:rsidR="00281187">
        <w:rPr>
          <w:rFonts w:ascii="Rockwell" w:hAnsi="Rockwell" w:cs="Rockwell"/>
          <w:sz w:val="24"/>
          <w:szCs w:val="24"/>
        </w:rPr>
        <w:t>as well as</w:t>
      </w:r>
      <w:r>
        <w:rPr>
          <w:rFonts w:ascii="Rockwell" w:hAnsi="Rockwell" w:cs="Rockwell"/>
          <w:sz w:val="24"/>
          <w:szCs w:val="24"/>
        </w:rPr>
        <w:t xml:space="preserve"> public health and safety through elimination of adverse environmental effects resulting fr</w:t>
      </w:r>
      <w:r w:rsidR="00281187">
        <w:rPr>
          <w:rFonts w:ascii="Rockwell" w:hAnsi="Rockwell" w:cs="Rockwell"/>
          <w:sz w:val="24"/>
          <w:szCs w:val="24"/>
        </w:rPr>
        <w:t>om the mining activities. It is therefore important to e</w:t>
      </w:r>
      <w:r>
        <w:rPr>
          <w:rFonts w:ascii="Rockwell" w:hAnsi="Rockwell" w:cs="Rockwell"/>
          <w:sz w:val="24"/>
          <w:szCs w:val="24"/>
        </w:rPr>
        <w:t>stablish conducive conditions that are</w:t>
      </w:r>
      <w:r w:rsidR="00B57582">
        <w:rPr>
          <w:rFonts w:ascii="Rockwell" w:hAnsi="Rockwell" w:cs="Rockwell"/>
          <w:sz w:val="24"/>
          <w:szCs w:val="24"/>
        </w:rPr>
        <w:t xml:space="preserve"> consistent with the agreed after-</w:t>
      </w:r>
      <w:r>
        <w:rPr>
          <w:rFonts w:ascii="Rockwell" w:hAnsi="Rockwell" w:cs="Rockwell"/>
          <w:sz w:val="24"/>
          <w:szCs w:val="24"/>
        </w:rPr>
        <w:t xml:space="preserve">use plan </w:t>
      </w:r>
      <w:r>
        <w:rPr>
          <w:rFonts w:ascii="Rockwell" w:hAnsi="Rockwell" w:cs="Rockwell"/>
          <w:sz w:val="24"/>
          <w:szCs w:val="24"/>
          <w:lang w:val="en-GB"/>
        </w:rPr>
        <w:t xml:space="preserve">and </w:t>
      </w:r>
      <w:r>
        <w:rPr>
          <w:rFonts w:ascii="Rockwell" w:hAnsi="Rockwell" w:cs="Rockwell"/>
          <w:sz w:val="24"/>
          <w:szCs w:val="24"/>
        </w:rPr>
        <w:t>enhanc</w:t>
      </w:r>
      <w:r w:rsidR="00060D18">
        <w:rPr>
          <w:rFonts w:ascii="Rockwell" w:hAnsi="Rockwell" w:cs="Rockwell"/>
          <w:sz w:val="24"/>
          <w:szCs w:val="24"/>
        </w:rPr>
        <w:t xml:space="preserve">ement of </w:t>
      </w:r>
      <w:r>
        <w:rPr>
          <w:rFonts w:ascii="Rockwell" w:hAnsi="Rockwell" w:cs="Rockwell"/>
          <w:sz w:val="24"/>
          <w:szCs w:val="24"/>
          <w:lang w:val="en-GB"/>
        </w:rPr>
        <w:t>the</w:t>
      </w:r>
      <w:r>
        <w:rPr>
          <w:rFonts w:ascii="Rockwell" w:hAnsi="Rockwell" w:cs="Rockwell"/>
          <w:sz w:val="24"/>
          <w:szCs w:val="24"/>
        </w:rPr>
        <w:t xml:space="preserve"> monitoring mechanisms in the</w:t>
      </w:r>
      <w:r>
        <w:rPr>
          <w:rFonts w:ascii="Rockwell" w:hAnsi="Rockwell" w:cs="Rockwell"/>
          <w:sz w:val="24"/>
          <w:szCs w:val="24"/>
          <w:lang w:val="en-GB"/>
        </w:rPr>
        <w:t xml:space="preserve"> decommissioned</w:t>
      </w:r>
      <w:r>
        <w:rPr>
          <w:rFonts w:ascii="Rockwell" w:hAnsi="Rockwell" w:cs="Rockwell"/>
          <w:sz w:val="24"/>
          <w:szCs w:val="24"/>
        </w:rPr>
        <w:t xml:space="preserve"> min</w:t>
      </w:r>
      <w:r>
        <w:rPr>
          <w:rFonts w:ascii="Rockwell" w:hAnsi="Rockwell" w:cs="Rockwell"/>
          <w:sz w:val="24"/>
          <w:szCs w:val="24"/>
          <w:lang w:val="en-GB"/>
        </w:rPr>
        <w:t>e</w:t>
      </w:r>
      <w:r>
        <w:rPr>
          <w:rFonts w:ascii="Rockwell" w:hAnsi="Rockwell" w:cs="Rockwell"/>
          <w:sz w:val="24"/>
          <w:szCs w:val="24"/>
        </w:rPr>
        <w:t xml:space="preserve"> site area.</w:t>
      </w:r>
    </w:p>
    <w:p w:rsidR="00CE5995" w:rsidRDefault="00CE5995">
      <w:pPr>
        <w:tabs>
          <w:tab w:val="left" w:pos="720"/>
        </w:tabs>
        <w:spacing w:line="360" w:lineRule="auto"/>
        <w:jc w:val="both"/>
        <w:rPr>
          <w:rFonts w:ascii="Rockwell" w:hAnsi="Rockwell" w:cs="Rockwell"/>
          <w:b/>
          <w:sz w:val="24"/>
          <w:szCs w:val="24"/>
          <w:lang w:val="en-GB"/>
        </w:rPr>
      </w:pPr>
    </w:p>
    <w:p w:rsidR="00CE5995" w:rsidRDefault="00D37047">
      <w:pPr>
        <w:tabs>
          <w:tab w:val="left" w:pos="720"/>
        </w:tabs>
        <w:spacing w:line="360" w:lineRule="auto"/>
        <w:jc w:val="both"/>
        <w:rPr>
          <w:rFonts w:ascii="Rockwell" w:hAnsi="Rockwell" w:cs="Rockwell"/>
          <w:sz w:val="24"/>
          <w:szCs w:val="24"/>
        </w:rPr>
      </w:pPr>
      <w:r>
        <w:rPr>
          <w:rFonts w:ascii="Rockwell" w:hAnsi="Rockwell" w:cs="Rockwell"/>
          <w:sz w:val="24"/>
          <w:szCs w:val="24"/>
        </w:rPr>
        <w:t>The objective</w:t>
      </w:r>
      <w:r w:rsidR="00B57582">
        <w:rPr>
          <w:rFonts w:ascii="Rockwell" w:hAnsi="Rockwell" w:cs="Rockwell"/>
          <w:sz w:val="24"/>
          <w:szCs w:val="24"/>
        </w:rPr>
        <w:t>s</w:t>
      </w:r>
      <w:r>
        <w:rPr>
          <w:rFonts w:ascii="Rockwell" w:hAnsi="Rockwell" w:cs="Rockwell"/>
          <w:sz w:val="24"/>
          <w:szCs w:val="24"/>
        </w:rPr>
        <w:t xml:space="preserve"> of this </w:t>
      </w:r>
      <w:r w:rsidR="00313495">
        <w:rPr>
          <w:rFonts w:ascii="Rockwell" w:hAnsi="Rockwell" w:cs="Rockwell"/>
          <w:sz w:val="24"/>
          <w:szCs w:val="24"/>
        </w:rPr>
        <w:t>Guideline</w:t>
      </w:r>
      <w:r w:rsidR="00B57582">
        <w:rPr>
          <w:rFonts w:ascii="Rockwell" w:hAnsi="Rockwell" w:cs="Rockwell"/>
          <w:sz w:val="24"/>
          <w:szCs w:val="24"/>
        </w:rPr>
        <w:t xml:space="preserve"> are</w:t>
      </w:r>
      <w:r w:rsidR="00281187">
        <w:rPr>
          <w:rFonts w:ascii="Rockwell" w:hAnsi="Rockwell" w:cs="Rockwell"/>
          <w:sz w:val="24"/>
          <w:szCs w:val="24"/>
        </w:rPr>
        <w:t>:</w:t>
      </w:r>
    </w:p>
    <w:p w:rsidR="00757A0E" w:rsidRDefault="00757A0E" w:rsidP="00757A0E">
      <w:pPr>
        <w:pStyle w:val="ListParagraph"/>
        <w:numPr>
          <w:ilvl w:val="0"/>
          <w:numId w:val="1"/>
        </w:numPr>
        <w:spacing w:line="360" w:lineRule="auto"/>
        <w:jc w:val="both"/>
        <w:rPr>
          <w:rFonts w:ascii="Rockwell" w:hAnsi="Rockwell" w:cs="Rockwell"/>
          <w:sz w:val="24"/>
          <w:szCs w:val="24"/>
        </w:rPr>
      </w:pPr>
      <w:r>
        <w:rPr>
          <w:rFonts w:ascii="Rockwell" w:hAnsi="Rockwell" w:cs="Rockwell"/>
          <w:sz w:val="24"/>
          <w:szCs w:val="24"/>
        </w:rPr>
        <w:t xml:space="preserve"> </w:t>
      </w:r>
      <w:r w:rsidR="00281187">
        <w:rPr>
          <w:rFonts w:ascii="Rockwell" w:hAnsi="Rockwell" w:cs="Rockwell"/>
          <w:sz w:val="24"/>
          <w:szCs w:val="24"/>
        </w:rPr>
        <w:t>To provide g</w:t>
      </w:r>
      <w:r w:rsidR="00D37047">
        <w:rPr>
          <w:rFonts w:ascii="Rockwell" w:hAnsi="Rockwell" w:cs="Rockwell"/>
          <w:sz w:val="24"/>
          <w:szCs w:val="24"/>
        </w:rPr>
        <w:t>uidance on the preparation of mine site decommissioning and rehabilitation plans to meet regulatory requirements and best practices</w:t>
      </w:r>
      <w:r w:rsidR="00281187">
        <w:rPr>
          <w:rFonts w:ascii="Rockwell" w:hAnsi="Rockwell" w:cs="Rockwell"/>
          <w:sz w:val="24"/>
          <w:szCs w:val="24"/>
        </w:rPr>
        <w:t>;</w:t>
      </w:r>
      <w:r w:rsidR="00D37047">
        <w:rPr>
          <w:rFonts w:ascii="Rockwell" w:hAnsi="Rockwell" w:cs="Rockwell"/>
          <w:sz w:val="24"/>
          <w:szCs w:val="24"/>
        </w:rPr>
        <w:t xml:space="preserve"> </w:t>
      </w:r>
    </w:p>
    <w:p w:rsidR="00CE5995" w:rsidRPr="00757A0E" w:rsidRDefault="00D37047" w:rsidP="00757A0E">
      <w:pPr>
        <w:pStyle w:val="ListParagraph"/>
        <w:numPr>
          <w:ilvl w:val="0"/>
          <w:numId w:val="1"/>
        </w:numPr>
        <w:spacing w:line="360" w:lineRule="auto"/>
        <w:jc w:val="both"/>
        <w:rPr>
          <w:rFonts w:ascii="Rockwell" w:hAnsi="Rockwell" w:cs="Rockwell"/>
          <w:sz w:val="24"/>
          <w:szCs w:val="24"/>
        </w:rPr>
      </w:pPr>
      <w:r w:rsidRPr="00757A0E">
        <w:rPr>
          <w:rFonts w:ascii="Rockwell" w:hAnsi="Rockwell" w:cs="Rockwell"/>
          <w:sz w:val="24"/>
          <w:szCs w:val="24"/>
        </w:rPr>
        <w:t>To adopt best practices on mine site decommissioning and rehabilitation</w:t>
      </w:r>
      <w:r w:rsidR="00281187" w:rsidRPr="00757A0E">
        <w:rPr>
          <w:rFonts w:ascii="Rockwell" w:hAnsi="Rockwell" w:cs="Rockwell"/>
          <w:sz w:val="24"/>
          <w:szCs w:val="24"/>
        </w:rPr>
        <w:t>;</w:t>
      </w:r>
      <w:r w:rsidRPr="00757A0E">
        <w:rPr>
          <w:rFonts w:ascii="Rockwell" w:hAnsi="Rockwell" w:cs="Rockwell"/>
          <w:sz w:val="24"/>
          <w:szCs w:val="24"/>
        </w:rPr>
        <w:t xml:space="preserve"> </w:t>
      </w:r>
      <w:r w:rsidR="00281187" w:rsidRPr="00757A0E">
        <w:rPr>
          <w:rFonts w:ascii="Rockwell" w:hAnsi="Rockwell" w:cs="Rockwell"/>
          <w:sz w:val="24"/>
          <w:szCs w:val="24"/>
        </w:rPr>
        <w:t>and</w:t>
      </w:r>
    </w:p>
    <w:p w:rsidR="00CE5995" w:rsidRDefault="00D37047" w:rsidP="00757A0E">
      <w:pPr>
        <w:pStyle w:val="ListParagraph"/>
        <w:numPr>
          <w:ilvl w:val="0"/>
          <w:numId w:val="1"/>
        </w:numPr>
        <w:spacing w:line="360" w:lineRule="auto"/>
        <w:jc w:val="both"/>
        <w:rPr>
          <w:rFonts w:ascii="Rockwell" w:hAnsi="Rockwell" w:cs="Rockwell"/>
          <w:sz w:val="24"/>
          <w:szCs w:val="24"/>
        </w:rPr>
      </w:pPr>
      <w:r w:rsidRPr="00757A0E">
        <w:rPr>
          <w:rFonts w:ascii="Rockwell" w:hAnsi="Rockwell" w:cs="Rockwell"/>
          <w:sz w:val="24"/>
          <w:szCs w:val="24"/>
        </w:rPr>
        <w:t xml:space="preserve">To promote effective engagement and inclusive participation of Project Affected </w:t>
      </w:r>
      <w:r w:rsidR="00E06204">
        <w:rPr>
          <w:rFonts w:ascii="Rockwell" w:hAnsi="Rockwell" w:cs="Rockwell"/>
          <w:sz w:val="24"/>
          <w:szCs w:val="24"/>
        </w:rPr>
        <w:t>Persons (PAPs)</w:t>
      </w:r>
      <w:r w:rsidRPr="00757A0E">
        <w:rPr>
          <w:rFonts w:ascii="Rockwell" w:hAnsi="Rockwell" w:cs="Rockwell"/>
          <w:sz w:val="24"/>
          <w:szCs w:val="24"/>
        </w:rPr>
        <w:t xml:space="preserve"> and communities in decision making processes relating to mine </w:t>
      </w:r>
      <w:r>
        <w:rPr>
          <w:rFonts w:ascii="Rockwell" w:hAnsi="Rockwell" w:cs="Rockwell"/>
          <w:sz w:val="24"/>
          <w:szCs w:val="24"/>
        </w:rPr>
        <w:t>site</w:t>
      </w:r>
      <w:r w:rsidRPr="00757A0E">
        <w:rPr>
          <w:rFonts w:ascii="Rockwell" w:hAnsi="Rockwell" w:cs="Rockwell"/>
          <w:sz w:val="24"/>
          <w:szCs w:val="24"/>
        </w:rPr>
        <w:t xml:space="preserve"> decommissioning</w:t>
      </w:r>
      <w:r>
        <w:rPr>
          <w:rFonts w:ascii="Rockwell" w:hAnsi="Rockwell" w:cs="Rockwell"/>
          <w:sz w:val="24"/>
          <w:szCs w:val="24"/>
        </w:rPr>
        <w:t xml:space="preserve">, </w:t>
      </w:r>
      <w:r w:rsidRPr="00757A0E">
        <w:rPr>
          <w:rFonts w:ascii="Rockwell" w:hAnsi="Rockwell" w:cs="Rockwell"/>
          <w:sz w:val="24"/>
          <w:szCs w:val="24"/>
        </w:rPr>
        <w:t>rehabilitation</w:t>
      </w:r>
      <w:r>
        <w:rPr>
          <w:rFonts w:ascii="Rockwell" w:hAnsi="Rockwell" w:cs="Rockwell"/>
          <w:sz w:val="24"/>
          <w:szCs w:val="24"/>
        </w:rPr>
        <w:t xml:space="preserve"> and after use</w:t>
      </w:r>
      <w:r w:rsidRPr="00757A0E">
        <w:rPr>
          <w:rFonts w:ascii="Rockwell" w:hAnsi="Rockwell" w:cs="Rockwell"/>
          <w:sz w:val="24"/>
          <w:szCs w:val="24"/>
        </w:rPr>
        <w:t>.</w:t>
      </w:r>
    </w:p>
    <w:p w:rsidR="00CE5995" w:rsidRDefault="00CE5995">
      <w:pPr>
        <w:tabs>
          <w:tab w:val="left" w:pos="720"/>
        </w:tabs>
        <w:spacing w:line="360" w:lineRule="auto"/>
        <w:jc w:val="both"/>
        <w:rPr>
          <w:rFonts w:ascii="Rockwell" w:hAnsi="Rockwell" w:cs="Rockwell"/>
          <w:sz w:val="24"/>
          <w:szCs w:val="24"/>
          <w:lang w:val="en-GB"/>
        </w:rPr>
      </w:pPr>
    </w:p>
    <w:p w:rsidR="00CE5995" w:rsidRDefault="00060D18">
      <w:pPr>
        <w:tabs>
          <w:tab w:val="left" w:pos="720"/>
        </w:tabs>
        <w:spacing w:line="360" w:lineRule="auto"/>
        <w:jc w:val="both"/>
        <w:outlineLvl w:val="0"/>
        <w:rPr>
          <w:rFonts w:ascii="Rockwell" w:hAnsi="Rockwell" w:cs="Rockwell"/>
          <w:b/>
          <w:sz w:val="24"/>
          <w:szCs w:val="24"/>
          <w:lang w:val="en-GB"/>
        </w:rPr>
      </w:pPr>
      <w:bookmarkStart w:id="30" w:name="_Toc23658"/>
      <w:bookmarkStart w:id="31" w:name="_Toc6545"/>
      <w:bookmarkStart w:id="32" w:name="_Toc29260"/>
      <w:r>
        <w:rPr>
          <w:rFonts w:ascii="Rockwell" w:hAnsi="Rockwell" w:cs="Rockwell"/>
          <w:b/>
          <w:sz w:val="24"/>
          <w:szCs w:val="24"/>
          <w:lang w:val="en-GB"/>
        </w:rPr>
        <w:t>1.2 The S</w:t>
      </w:r>
      <w:r w:rsidR="00D37047">
        <w:rPr>
          <w:rFonts w:ascii="Rockwell" w:hAnsi="Rockwell" w:cs="Rockwell"/>
          <w:b/>
          <w:sz w:val="24"/>
          <w:szCs w:val="24"/>
          <w:lang w:val="en-GB"/>
        </w:rPr>
        <w:t>cope</w:t>
      </w:r>
      <w:bookmarkEnd w:id="30"/>
      <w:bookmarkEnd w:id="31"/>
      <w:bookmarkEnd w:id="32"/>
      <w:r w:rsidR="00D37047">
        <w:rPr>
          <w:rFonts w:ascii="Rockwell" w:hAnsi="Rockwell" w:cs="Rockwell"/>
          <w:b/>
          <w:sz w:val="24"/>
          <w:szCs w:val="24"/>
          <w:lang w:val="en-GB"/>
        </w:rPr>
        <w:t xml:space="preserve"> </w:t>
      </w: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These </w:t>
      </w:r>
      <w:r w:rsidR="00313495">
        <w:rPr>
          <w:rFonts w:ascii="Rockwell" w:hAnsi="Rockwell" w:cs="Rockwell"/>
          <w:sz w:val="24"/>
          <w:szCs w:val="24"/>
        </w:rPr>
        <w:t>Guideline</w:t>
      </w:r>
      <w:r>
        <w:rPr>
          <w:rFonts w:ascii="Rockwell" w:hAnsi="Rockwell" w:cs="Rockwell"/>
          <w:sz w:val="24"/>
          <w:szCs w:val="24"/>
        </w:rPr>
        <w:t xml:space="preserve"> are applicable to the mining sector in Kenya to inform best practices in mine site decommiss</w:t>
      </w:r>
      <w:r w:rsidR="00060D18">
        <w:rPr>
          <w:rFonts w:ascii="Rockwell" w:hAnsi="Rockwell" w:cs="Rockwell"/>
          <w:sz w:val="24"/>
          <w:szCs w:val="24"/>
        </w:rPr>
        <w:t xml:space="preserve">ioning and rehabilitation. The </w:t>
      </w:r>
      <w:r w:rsidR="00313495">
        <w:rPr>
          <w:rFonts w:ascii="Rockwell" w:hAnsi="Rockwell" w:cs="Rockwell"/>
          <w:sz w:val="24"/>
          <w:szCs w:val="24"/>
        </w:rPr>
        <w:t>Guideline</w:t>
      </w:r>
      <w:r>
        <w:rPr>
          <w:rFonts w:ascii="Rockwell" w:hAnsi="Rockwell" w:cs="Rockwell"/>
          <w:sz w:val="24"/>
          <w:szCs w:val="24"/>
        </w:rPr>
        <w:t xml:space="preserve"> shall </w:t>
      </w:r>
      <w:r w:rsidR="00247710">
        <w:rPr>
          <w:rFonts w:ascii="Rockwell" w:hAnsi="Rockwell" w:cs="Rockwell"/>
          <w:sz w:val="24"/>
          <w:szCs w:val="24"/>
        </w:rPr>
        <w:t xml:space="preserve">apply to the </w:t>
      </w:r>
      <w:r w:rsidR="002B14C0">
        <w:rPr>
          <w:rFonts w:ascii="Rockwell" w:hAnsi="Rockwell" w:cs="Rockwell"/>
          <w:sz w:val="24"/>
          <w:szCs w:val="24"/>
        </w:rPr>
        <w:lastRenderedPageBreak/>
        <w:t>mining operators, MDCAs, environmental experts, private sector, CSOs, communities and mass media</w:t>
      </w:r>
      <w:r>
        <w:rPr>
          <w:rFonts w:ascii="Rockwell" w:hAnsi="Rockwell" w:cs="Rockwell"/>
          <w:sz w:val="24"/>
          <w:szCs w:val="24"/>
        </w:rPr>
        <w:t xml:space="preserve"> in ensuring responsible mining decommissioning and rehabilitation. It</w:t>
      </w:r>
      <w:r w:rsidR="00060D18">
        <w:rPr>
          <w:rFonts w:ascii="Rockwell" w:hAnsi="Rockwell" w:cs="Rockwell"/>
          <w:sz w:val="24"/>
          <w:szCs w:val="24"/>
        </w:rPr>
        <w:t xml:space="preserve"> is further envisaged that the </w:t>
      </w:r>
      <w:r w:rsidR="00313495">
        <w:rPr>
          <w:rFonts w:ascii="Rockwell" w:hAnsi="Rockwell" w:cs="Rockwell"/>
          <w:sz w:val="24"/>
          <w:szCs w:val="24"/>
        </w:rPr>
        <w:t>Guideline</w:t>
      </w:r>
      <w:r w:rsidR="00060D18">
        <w:rPr>
          <w:rFonts w:ascii="Rockwell" w:hAnsi="Rockwell" w:cs="Rockwell"/>
          <w:sz w:val="24"/>
          <w:szCs w:val="24"/>
        </w:rPr>
        <w:t xml:space="preserve"> will contribute to good </w:t>
      </w:r>
      <w:r>
        <w:rPr>
          <w:rFonts w:ascii="Rockwell" w:hAnsi="Rockwell" w:cs="Rockwell"/>
          <w:sz w:val="24"/>
          <w:szCs w:val="24"/>
        </w:rPr>
        <w:t xml:space="preserve">governance through meaningful </w:t>
      </w:r>
      <w:r w:rsidR="00060D18">
        <w:rPr>
          <w:rFonts w:ascii="Rockwell" w:hAnsi="Rockwell" w:cs="Rockwell"/>
          <w:sz w:val="24"/>
          <w:szCs w:val="24"/>
        </w:rPr>
        <w:t xml:space="preserve">engagement </w:t>
      </w:r>
      <w:r w:rsidR="002B14C0">
        <w:rPr>
          <w:rFonts w:ascii="Rockwell" w:hAnsi="Rockwell" w:cs="Rockwell"/>
          <w:sz w:val="24"/>
          <w:szCs w:val="24"/>
        </w:rPr>
        <w:t xml:space="preserve">among the relevant stakeholders </w:t>
      </w:r>
      <w:r>
        <w:rPr>
          <w:rFonts w:ascii="Rockwell" w:hAnsi="Rockwell" w:cs="Rockwell"/>
          <w:sz w:val="24"/>
          <w:szCs w:val="24"/>
        </w:rPr>
        <w:t xml:space="preserve">while ensuring </w:t>
      </w:r>
      <w:r w:rsidR="00060D18">
        <w:rPr>
          <w:rFonts w:ascii="Rockwell" w:hAnsi="Rockwell" w:cs="Rockwell"/>
          <w:sz w:val="24"/>
          <w:szCs w:val="24"/>
        </w:rPr>
        <w:t>environmenta</w:t>
      </w:r>
      <w:r w:rsidR="002B14C0">
        <w:rPr>
          <w:rFonts w:ascii="Rockwell" w:hAnsi="Rockwell" w:cs="Rockwell"/>
          <w:sz w:val="24"/>
          <w:szCs w:val="24"/>
        </w:rPr>
        <w:t xml:space="preserve">l and ecosystem sustainability, </w:t>
      </w:r>
      <w:r w:rsidR="00060D18">
        <w:rPr>
          <w:rFonts w:ascii="Rockwell" w:hAnsi="Rockwell" w:cs="Rockwell"/>
          <w:sz w:val="24"/>
          <w:szCs w:val="24"/>
        </w:rPr>
        <w:t xml:space="preserve">protection of human </w:t>
      </w:r>
      <w:r w:rsidR="00060D18">
        <w:rPr>
          <w:rFonts w:ascii="Rockwell" w:hAnsi="Rockwell" w:cs="Rockwell"/>
          <w:sz w:val="24"/>
          <w:szCs w:val="24"/>
          <w:lang w:val="en-GB"/>
        </w:rPr>
        <w:t xml:space="preserve">health, </w:t>
      </w:r>
      <w:r w:rsidR="002B14C0">
        <w:rPr>
          <w:rFonts w:ascii="Rockwell" w:hAnsi="Rockwell" w:cs="Rockwell"/>
          <w:sz w:val="24"/>
          <w:szCs w:val="24"/>
        </w:rPr>
        <w:t xml:space="preserve">transparency and </w:t>
      </w:r>
      <w:r w:rsidR="00060D18">
        <w:rPr>
          <w:rFonts w:ascii="Rockwell" w:hAnsi="Rockwell" w:cs="Rockwell"/>
          <w:sz w:val="24"/>
          <w:szCs w:val="24"/>
        </w:rPr>
        <w:t>h</w:t>
      </w:r>
      <w:r>
        <w:rPr>
          <w:rFonts w:ascii="Rockwell" w:hAnsi="Rockwell" w:cs="Rockwell"/>
          <w:sz w:val="24"/>
          <w:szCs w:val="24"/>
        </w:rPr>
        <w:t>uman rights considerations in the sector.</w:t>
      </w:r>
    </w:p>
    <w:p w:rsidR="00060D18" w:rsidRDefault="00060D18">
      <w:pPr>
        <w:spacing w:line="360" w:lineRule="auto"/>
        <w:jc w:val="both"/>
        <w:rPr>
          <w:rFonts w:ascii="Rockwell" w:hAnsi="Rockwell" w:cs="Rockwell"/>
          <w:sz w:val="24"/>
          <w:szCs w:val="24"/>
        </w:rPr>
      </w:pPr>
    </w:p>
    <w:p w:rsidR="00CE5995" w:rsidRDefault="002B14C0">
      <w:pPr>
        <w:numPr>
          <w:ilvl w:val="255"/>
          <w:numId w:val="0"/>
        </w:numPr>
        <w:spacing w:line="360" w:lineRule="auto"/>
        <w:jc w:val="both"/>
        <w:rPr>
          <w:rFonts w:ascii="Rockwell" w:hAnsi="Rockwell" w:cs="Rockwell"/>
          <w:sz w:val="24"/>
          <w:szCs w:val="24"/>
        </w:rPr>
      </w:pPr>
      <w:r>
        <w:rPr>
          <w:rFonts w:ascii="Rockwell" w:hAnsi="Rockwell" w:cs="Rockwell"/>
          <w:sz w:val="24"/>
          <w:szCs w:val="24"/>
        </w:rPr>
        <w:t>The Guideline will</w:t>
      </w:r>
      <w:r w:rsidR="00D37047">
        <w:rPr>
          <w:rFonts w:ascii="Rockwell" w:hAnsi="Rockwell" w:cs="Rockwell"/>
          <w:sz w:val="24"/>
          <w:szCs w:val="24"/>
        </w:rPr>
        <w:t xml:space="preserve"> also be</w:t>
      </w:r>
      <w:r w:rsidR="00D37047">
        <w:rPr>
          <w:rFonts w:ascii="Rockwell" w:hAnsi="Rockwell" w:cs="Rockwell"/>
          <w:sz w:val="24"/>
          <w:szCs w:val="24"/>
          <w:lang w:val="en-GB"/>
        </w:rPr>
        <w:t xml:space="preserve"> used </w:t>
      </w:r>
      <w:r>
        <w:rPr>
          <w:rFonts w:ascii="Rockwell" w:hAnsi="Rockwell" w:cs="Rockwell"/>
          <w:sz w:val="24"/>
          <w:szCs w:val="24"/>
        </w:rPr>
        <w:t>during reviews of the relevant</w:t>
      </w:r>
      <w:r w:rsidR="00D37047">
        <w:rPr>
          <w:rFonts w:ascii="Rockwell" w:hAnsi="Rockwell" w:cs="Rockwell"/>
          <w:sz w:val="24"/>
          <w:szCs w:val="24"/>
        </w:rPr>
        <w:t xml:space="preserve"> </w:t>
      </w:r>
      <w:r>
        <w:rPr>
          <w:rFonts w:ascii="Rockwell" w:hAnsi="Rockwell" w:cs="Rockwell"/>
          <w:sz w:val="24"/>
          <w:szCs w:val="24"/>
        </w:rPr>
        <w:t>E</w:t>
      </w:r>
      <w:r w:rsidR="00D37047">
        <w:rPr>
          <w:rFonts w:ascii="Rockwell" w:hAnsi="Rockwell" w:cs="Rockwell"/>
          <w:sz w:val="24"/>
          <w:szCs w:val="24"/>
        </w:rPr>
        <w:t xml:space="preserve">nvironmental and </w:t>
      </w:r>
      <w:r>
        <w:rPr>
          <w:rFonts w:ascii="Rockwell" w:hAnsi="Rockwell" w:cs="Rockwell"/>
          <w:sz w:val="24"/>
          <w:szCs w:val="24"/>
        </w:rPr>
        <w:t xml:space="preserve">Social Impact Assessment (ESIA) </w:t>
      </w:r>
      <w:r w:rsidR="00D37047">
        <w:rPr>
          <w:rFonts w:ascii="Rockwell" w:hAnsi="Rockwell" w:cs="Rockwell"/>
          <w:sz w:val="24"/>
          <w:szCs w:val="24"/>
        </w:rPr>
        <w:t>reports, Environmental and Social Management Plans</w:t>
      </w:r>
      <w:r>
        <w:rPr>
          <w:rFonts w:ascii="Rockwell" w:hAnsi="Rockwell" w:cs="Rockwell"/>
          <w:sz w:val="24"/>
          <w:szCs w:val="24"/>
        </w:rPr>
        <w:t xml:space="preserve"> (ESMPs)</w:t>
      </w:r>
      <w:r w:rsidR="00D37047">
        <w:rPr>
          <w:rFonts w:ascii="Rockwell" w:hAnsi="Rockwell" w:cs="Rockwell"/>
          <w:sz w:val="24"/>
          <w:szCs w:val="24"/>
        </w:rPr>
        <w:t>, during inspections of the mine</w:t>
      </w:r>
      <w:r w:rsidR="00D37047">
        <w:rPr>
          <w:rFonts w:ascii="Rockwell" w:hAnsi="Rockwell" w:cs="Rockwell"/>
          <w:sz w:val="24"/>
          <w:szCs w:val="24"/>
          <w:lang w:val="en-GB"/>
        </w:rPr>
        <w:t xml:space="preserve"> sites</w:t>
      </w:r>
      <w:r>
        <w:rPr>
          <w:rFonts w:ascii="Rockwell" w:hAnsi="Rockwell" w:cs="Rockwell"/>
          <w:sz w:val="24"/>
          <w:szCs w:val="24"/>
        </w:rPr>
        <w:t>, compliance monitoring and environmental a</w:t>
      </w:r>
      <w:r w:rsidR="00D37047">
        <w:rPr>
          <w:rFonts w:ascii="Rockwell" w:hAnsi="Rockwell" w:cs="Rockwell"/>
          <w:sz w:val="24"/>
          <w:szCs w:val="24"/>
        </w:rPr>
        <w:t>uditing.</w:t>
      </w:r>
    </w:p>
    <w:p w:rsidR="00CE5995" w:rsidRDefault="00CE5995">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B12381" w:rsidRDefault="00B12381">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D37047">
      <w:pPr>
        <w:pStyle w:val="ListParagraph"/>
        <w:numPr>
          <w:ilvl w:val="0"/>
          <w:numId w:val="2"/>
        </w:numPr>
        <w:spacing w:line="360" w:lineRule="auto"/>
        <w:jc w:val="both"/>
        <w:outlineLvl w:val="0"/>
        <w:rPr>
          <w:rFonts w:ascii="Rockwell" w:hAnsi="Rockwell" w:cs="Rockwell"/>
          <w:b/>
          <w:sz w:val="24"/>
          <w:szCs w:val="24"/>
        </w:rPr>
      </w:pPr>
      <w:bookmarkStart w:id="33" w:name="_Toc425696"/>
      <w:r>
        <w:rPr>
          <w:rFonts w:ascii="Rockwell" w:hAnsi="Rockwell" w:cs="Rockwell"/>
          <w:b/>
          <w:sz w:val="24"/>
          <w:szCs w:val="24"/>
        </w:rPr>
        <w:t xml:space="preserve"> </w:t>
      </w:r>
      <w:bookmarkStart w:id="34" w:name="_Toc5369"/>
      <w:bookmarkStart w:id="35" w:name="_Toc5911"/>
      <w:bookmarkStart w:id="36" w:name="_Toc31344"/>
      <w:r w:rsidR="00247710">
        <w:rPr>
          <w:rFonts w:ascii="Rockwell" w:hAnsi="Rockwell" w:cs="Rockwell"/>
          <w:b/>
          <w:sz w:val="24"/>
          <w:szCs w:val="24"/>
        </w:rPr>
        <w:t>Policy, Legal a</w:t>
      </w:r>
      <w:r>
        <w:rPr>
          <w:rFonts w:ascii="Rockwell" w:hAnsi="Rockwell" w:cs="Rockwell"/>
          <w:b/>
          <w:sz w:val="24"/>
          <w:szCs w:val="24"/>
        </w:rPr>
        <w:t xml:space="preserve">nd Institutional </w:t>
      </w:r>
      <w:bookmarkEnd w:id="33"/>
      <w:r>
        <w:rPr>
          <w:rFonts w:ascii="Rockwell" w:hAnsi="Rockwell" w:cs="Rockwell"/>
          <w:b/>
          <w:sz w:val="24"/>
          <w:szCs w:val="24"/>
        </w:rPr>
        <w:t>Framework</w:t>
      </w:r>
      <w:bookmarkEnd w:id="34"/>
      <w:bookmarkEnd w:id="35"/>
      <w:bookmarkEnd w:id="36"/>
      <w:r w:rsidR="00B12381">
        <w:rPr>
          <w:rFonts w:ascii="Rockwell" w:hAnsi="Rockwell" w:cs="Rockwell"/>
          <w:b/>
          <w:sz w:val="24"/>
          <w:szCs w:val="24"/>
        </w:rPr>
        <w:t>s</w:t>
      </w:r>
    </w:p>
    <w:p w:rsidR="00CE5995" w:rsidRDefault="00D37047">
      <w:pPr>
        <w:pStyle w:val="ListParagraph"/>
        <w:numPr>
          <w:ilvl w:val="255"/>
          <w:numId w:val="0"/>
        </w:numPr>
        <w:spacing w:line="360" w:lineRule="auto"/>
        <w:ind w:left="360"/>
        <w:jc w:val="both"/>
        <w:outlineLvl w:val="0"/>
        <w:rPr>
          <w:rFonts w:ascii="Rockwell" w:hAnsi="Rockwell" w:cs="Rockwell"/>
          <w:b/>
          <w:sz w:val="24"/>
          <w:szCs w:val="24"/>
        </w:rPr>
      </w:pPr>
      <w:bookmarkStart w:id="37" w:name="_Toc32667"/>
      <w:bookmarkStart w:id="38" w:name="_Toc28050"/>
      <w:bookmarkStart w:id="39" w:name="_Toc6224"/>
      <w:r>
        <w:rPr>
          <w:rFonts w:ascii="Rockwell" w:hAnsi="Rockwell" w:cs="Rockwell"/>
          <w:b/>
          <w:sz w:val="24"/>
          <w:szCs w:val="24"/>
        </w:rPr>
        <w:t>2.</w:t>
      </w:r>
      <w:r>
        <w:rPr>
          <w:rFonts w:ascii="Rockwell" w:hAnsi="Rockwell" w:cs="Rockwell"/>
          <w:b/>
          <w:sz w:val="24"/>
          <w:szCs w:val="24"/>
          <w:lang w:val="en-GB"/>
        </w:rPr>
        <w:t>1</w:t>
      </w:r>
      <w:r>
        <w:rPr>
          <w:rFonts w:ascii="Rockwell" w:hAnsi="Rockwell" w:cs="Rockwell"/>
          <w:b/>
          <w:sz w:val="24"/>
          <w:szCs w:val="24"/>
        </w:rPr>
        <w:t xml:space="preserve"> Constitution of Kenya</w:t>
      </w:r>
      <w:bookmarkEnd w:id="37"/>
      <w:bookmarkEnd w:id="38"/>
      <w:bookmarkEnd w:id="39"/>
      <w:r w:rsidR="00B12381">
        <w:rPr>
          <w:rFonts w:ascii="Rockwell" w:hAnsi="Rockwell" w:cs="Rockwell"/>
          <w:b/>
          <w:sz w:val="24"/>
          <w:szCs w:val="24"/>
        </w:rPr>
        <w:t>, 2010</w:t>
      </w:r>
    </w:p>
    <w:p w:rsidR="00B12381" w:rsidRDefault="00D37047">
      <w:pPr>
        <w:spacing w:line="360" w:lineRule="auto"/>
        <w:jc w:val="both"/>
        <w:rPr>
          <w:rFonts w:ascii="Rockwell" w:hAnsi="Rockwell" w:cs="Rockwell"/>
          <w:sz w:val="24"/>
          <w:szCs w:val="24"/>
        </w:rPr>
      </w:pPr>
      <w:r>
        <w:rPr>
          <w:rFonts w:ascii="Rockwell" w:hAnsi="Rockwell" w:cs="Rockwell"/>
          <w:sz w:val="24"/>
          <w:szCs w:val="24"/>
        </w:rPr>
        <w:t>Article 42 of the C</w:t>
      </w:r>
      <w:r w:rsidR="00B12381">
        <w:rPr>
          <w:rFonts w:ascii="Rockwell" w:hAnsi="Rockwell" w:cs="Rockwell"/>
          <w:sz w:val="24"/>
          <w:szCs w:val="24"/>
        </w:rPr>
        <w:t>onstitution on e</w:t>
      </w:r>
      <w:r>
        <w:rPr>
          <w:rFonts w:ascii="Rockwell" w:hAnsi="Rockwell" w:cs="Rockwell"/>
          <w:sz w:val="24"/>
          <w:szCs w:val="24"/>
        </w:rPr>
        <w:t>nvironme</w:t>
      </w:r>
      <w:r w:rsidR="00B12381">
        <w:rPr>
          <w:rFonts w:ascii="Rockwell" w:hAnsi="Rockwell" w:cs="Rockwell"/>
          <w:sz w:val="24"/>
          <w:szCs w:val="24"/>
        </w:rPr>
        <w:t>nt states that e</w:t>
      </w:r>
      <w:r>
        <w:rPr>
          <w:rFonts w:ascii="Rockwell" w:hAnsi="Rockwell" w:cs="Rockwell"/>
          <w:sz w:val="24"/>
          <w:szCs w:val="24"/>
        </w:rPr>
        <w:t>very person has the right to a clean and healthy enviro</w:t>
      </w:r>
      <w:r w:rsidR="00B12381">
        <w:rPr>
          <w:rFonts w:ascii="Rockwell" w:hAnsi="Rockwell" w:cs="Rockwell"/>
          <w:sz w:val="24"/>
          <w:szCs w:val="24"/>
        </w:rPr>
        <w:t xml:space="preserve">nment, which includes the right: </w:t>
      </w:r>
    </w:p>
    <w:p w:rsidR="00B12381" w:rsidRDefault="00D37047" w:rsidP="00B12381">
      <w:pPr>
        <w:spacing w:line="360" w:lineRule="auto"/>
        <w:ind w:left="720"/>
        <w:jc w:val="both"/>
        <w:rPr>
          <w:rFonts w:ascii="Rockwell" w:hAnsi="Rockwell" w:cs="Rockwell"/>
          <w:sz w:val="24"/>
          <w:szCs w:val="24"/>
        </w:rPr>
      </w:pPr>
      <w:r>
        <w:rPr>
          <w:rFonts w:ascii="Rockwell" w:hAnsi="Rockwell" w:cs="Rockwell"/>
          <w:sz w:val="24"/>
          <w:szCs w:val="24"/>
        </w:rPr>
        <w:t xml:space="preserve">(a) to have the environment protected for the benefit of present and future generations through legislative and other measures, particularly those contemplated in Article 69; and </w:t>
      </w:r>
    </w:p>
    <w:p w:rsidR="00CE5995" w:rsidRDefault="00D37047" w:rsidP="00B12381">
      <w:pPr>
        <w:spacing w:line="360" w:lineRule="auto"/>
        <w:ind w:firstLine="720"/>
        <w:jc w:val="both"/>
        <w:rPr>
          <w:rFonts w:ascii="Rockwell" w:hAnsi="Rockwell" w:cs="Rockwell"/>
          <w:sz w:val="24"/>
          <w:szCs w:val="24"/>
        </w:rPr>
      </w:pPr>
      <w:r>
        <w:rPr>
          <w:rFonts w:ascii="Rockwell" w:hAnsi="Rockwell" w:cs="Rockwell"/>
          <w:sz w:val="24"/>
          <w:szCs w:val="24"/>
        </w:rPr>
        <w:t xml:space="preserve">(b) </w:t>
      </w:r>
      <w:proofErr w:type="gramStart"/>
      <w:r>
        <w:rPr>
          <w:rFonts w:ascii="Rockwell" w:hAnsi="Rockwell" w:cs="Rockwell"/>
          <w:sz w:val="24"/>
          <w:szCs w:val="24"/>
        </w:rPr>
        <w:t>to</w:t>
      </w:r>
      <w:proofErr w:type="gramEnd"/>
      <w:r>
        <w:rPr>
          <w:rFonts w:ascii="Rockwell" w:hAnsi="Rockwell" w:cs="Rockwell"/>
          <w:sz w:val="24"/>
          <w:szCs w:val="24"/>
        </w:rPr>
        <w:t xml:space="preserve"> have obligations relating to the environment fulfilled under Article 70.</w:t>
      </w:r>
    </w:p>
    <w:p w:rsidR="00CE5995" w:rsidRDefault="00CE5995">
      <w:pPr>
        <w:spacing w:line="360" w:lineRule="auto"/>
        <w:jc w:val="both"/>
        <w:rPr>
          <w:rFonts w:ascii="Rockwell" w:hAnsi="Rockwell" w:cs="Rockwell"/>
          <w:b/>
          <w:sz w:val="24"/>
          <w:szCs w:val="24"/>
          <w:lang w:val="en-GB"/>
        </w:rPr>
      </w:pPr>
    </w:p>
    <w:p w:rsidR="00CE5995" w:rsidRDefault="00CE5995">
      <w:pPr>
        <w:spacing w:line="360" w:lineRule="auto"/>
        <w:jc w:val="both"/>
        <w:outlineLvl w:val="0"/>
        <w:rPr>
          <w:rFonts w:ascii="Rockwell" w:hAnsi="Rockwell" w:cs="Rockwell"/>
          <w:b/>
          <w:sz w:val="24"/>
          <w:szCs w:val="24"/>
          <w:lang w:val="en-GB"/>
        </w:rPr>
        <w:sectPr w:rsidR="00CE5995">
          <w:headerReference w:type="default" r:id="rId13"/>
          <w:footerReference w:type="default" r:id="rId14"/>
          <w:pgSz w:w="12240" w:h="15840"/>
          <w:pgMar w:top="1440" w:right="1440" w:bottom="1440" w:left="1440" w:header="720" w:footer="720" w:gutter="0"/>
          <w:cols w:space="720"/>
          <w:docGrid w:linePitch="360"/>
        </w:sectPr>
      </w:pPr>
    </w:p>
    <w:p w:rsidR="00CE5995" w:rsidRDefault="00D37047">
      <w:pPr>
        <w:spacing w:line="360" w:lineRule="auto"/>
        <w:jc w:val="both"/>
        <w:outlineLvl w:val="0"/>
        <w:rPr>
          <w:rFonts w:ascii="Rockwell" w:hAnsi="Rockwell" w:cs="Rockwell"/>
          <w:b/>
          <w:sz w:val="24"/>
          <w:szCs w:val="24"/>
          <w:lang w:val="en-GB"/>
        </w:rPr>
      </w:pPr>
      <w:bookmarkStart w:id="40" w:name="_Toc29812"/>
      <w:bookmarkStart w:id="41" w:name="_Toc10858"/>
      <w:bookmarkStart w:id="42" w:name="_Toc21432"/>
      <w:r>
        <w:rPr>
          <w:rFonts w:ascii="Rockwell" w:hAnsi="Rockwell" w:cs="Rockwell"/>
          <w:b/>
          <w:sz w:val="24"/>
          <w:szCs w:val="24"/>
          <w:lang w:val="en-GB"/>
        </w:rPr>
        <w:lastRenderedPageBreak/>
        <w:t xml:space="preserve">2.2 </w:t>
      </w:r>
      <w:r>
        <w:rPr>
          <w:rFonts w:ascii="Rockwell" w:hAnsi="Rockwell" w:cs="Rockwell"/>
          <w:b/>
          <w:sz w:val="24"/>
          <w:szCs w:val="24"/>
        </w:rPr>
        <w:t>Policy, Legal and Institutional Framework</w:t>
      </w:r>
      <w:r w:rsidR="00420D0B">
        <w:rPr>
          <w:rFonts w:ascii="Rockwell" w:hAnsi="Rockwell" w:cs="Rockwell"/>
          <w:b/>
          <w:sz w:val="24"/>
          <w:szCs w:val="24"/>
        </w:rPr>
        <w:t>s</w:t>
      </w:r>
      <w:r>
        <w:rPr>
          <w:rFonts w:ascii="Rockwell" w:hAnsi="Rockwell" w:cs="Rockwell"/>
          <w:b/>
          <w:sz w:val="24"/>
          <w:szCs w:val="24"/>
        </w:rPr>
        <w:t xml:space="preserve"> Matrix</w:t>
      </w:r>
      <w:bookmarkEnd w:id="40"/>
      <w:bookmarkEnd w:id="41"/>
      <w:bookmarkEnd w:id="42"/>
      <w:r>
        <w:rPr>
          <w:rFonts w:ascii="Rockwell" w:hAnsi="Rockwell" w:cs="Rockwell"/>
          <w:b/>
          <w:sz w:val="24"/>
          <w:szCs w:val="24"/>
          <w:lang w:val="en-GB"/>
        </w:rPr>
        <w:t xml:space="preserve"> </w:t>
      </w:r>
    </w:p>
    <w:p w:rsidR="00CE5995" w:rsidRDefault="00D37047">
      <w:pPr>
        <w:spacing w:line="360" w:lineRule="auto"/>
        <w:jc w:val="both"/>
        <w:rPr>
          <w:rFonts w:ascii="Rockwell" w:hAnsi="Rockwell" w:cs="Rockwell"/>
          <w:b/>
          <w:sz w:val="24"/>
          <w:szCs w:val="24"/>
        </w:rPr>
      </w:pPr>
      <w:bookmarkStart w:id="43" w:name="_Toc25247"/>
      <w:r>
        <w:rPr>
          <w:rFonts w:ascii="Rockwell" w:hAnsi="Rockwell" w:cs="Rockwell"/>
          <w:b/>
          <w:sz w:val="24"/>
          <w:szCs w:val="24"/>
        </w:rPr>
        <w:t>Table 1:</w:t>
      </w:r>
      <w:r w:rsidR="00247710">
        <w:rPr>
          <w:rFonts w:ascii="Rockwell" w:hAnsi="Rockwell" w:cs="Rockwell"/>
          <w:b/>
          <w:sz w:val="24"/>
          <w:szCs w:val="24"/>
        </w:rPr>
        <w:t xml:space="preserve"> </w:t>
      </w:r>
      <w:r>
        <w:rPr>
          <w:rFonts w:ascii="Rockwell" w:hAnsi="Rockwell" w:cs="Rockwell"/>
          <w:b/>
          <w:sz w:val="24"/>
          <w:szCs w:val="24"/>
        </w:rPr>
        <w:t>Policy, Legal and Institutional Framework</w:t>
      </w:r>
      <w:r w:rsidR="00420D0B">
        <w:rPr>
          <w:rFonts w:ascii="Rockwell" w:hAnsi="Rockwell" w:cs="Rockwell"/>
          <w:b/>
          <w:sz w:val="24"/>
          <w:szCs w:val="24"/>
        </w:rPr>
        <w:t>s</w:t>
      </w:r>
      <w:r>
        <w:rPr>
          <w:rFonts w:ascii="Rockwell" w:hAnsi="Rockwell" w:cs="Rockwell"/>
          <w:b/>
          <w:sz w:val="24"/>
          <w:szCs w:val="24"/>
        </w:rPr>
        <w:t xml:space="preserve"> Matrix</w:t>
      </w:r>
      <w:bookmarkEnd w:id="43"/>
    </w:p>
    <w:tbl>
      <w:tblPr>
        <w:tblStyle w:val="TableGrid"/>
        <w:tblW w:w="13940" w:type="dxa"/>
        <w:tblLayout w:type="fixed"/>
        <w:tblLook w:val="04A0" w:firstRow="1" w:lastRow="0" w:firstColumn="1" w:lastColumn="0" w:noHBand="0" w:noVBand="1"/>
      </w:tblPr>
      <w:tblGrid>
        <w:gridCol w:w="2315"/>
        <w:gridCol w:w="2775"/>
        <w:gridCol w:w="3105"/>
        <w:gridCol w:w="2970"/>
        <w:gridCol w:w="2775"/>
      </w:tblGrid>
      <w:tr w:rsidR="00CE5995">
        <w:tc>
          <w:tcPr>
            <w:tcW w:w="5090" w:type="dxa"/>
            <w:gridSpan w:val="2"/>
          </w:tcPr>
          <w:p w:rsidR="00CE5995" w:rsidRDefault="00D37047">
            <w:pPr>
              <w:spacing w:line="360" w:lineRule="auto"/>
              <w:jc w:val="both"/>
              <w:rPr>
                <w:rFonts w:ascii="Rockwell" w:hAnsi="Rockwell" w:cs="Rockwell"/>
                <w:b/>
              </w:rPr>
            </w:pPr>
            <w:bookmarkStart w:id="44" w:name="_Toc31348"/>
            <w:r>
              <w:rPr>
                <w:rFonts w:ascii="Rockwell" w:hAnsi="Rockwell" w:cs="Rockwell"/>
                <w:b/>
              </w:rPr>
              <w:t>Policy and Legal Frameworks</w:t>
            </w:r>
            <w:bookmarkEnd w:id="44"/>
          </w:p>
        </w:tc>
        <w:tc>
          <w:tcPr>
            <w:tcW w:w="3105" w:type="dxa"/>
          </w:tcPr>
          <w:p w:rsidR="00CE5995" w:rsidRDefault="00D37047">
            <w:pPr>
              <w:spacing w:line="360" w:lineRule="auto"/>
              <w:jc w:val="both"/>
              <w:rPr>
                <w:rFonts w:ascii="Rockwell" w:hAnsi="Rockwell" w:cs="Rockwell"/>
                <w:b/>
              </w:rPr>
            </w:pPr>
            <w:bookmarkStart w:id="45" w:name="_Toc3501"/>
            <w:r>
              <w:rPr>
                <w:rFonts w:ascii="Rockwell" w:hAnsi="Rockwell" w:cs="Rockwell"/>
                <w:b/>
              </w:rPr>
              <w:t>Key Applicable Provisions</w:t>
            </w:r>
            <w:bookmarkEnd w:id="45"/>
          </w:p>
        </w:tc>
        <w:tc>
          <w:tcPr>
            <w:tcW w:w="2970" w:type="dxa"/>
          </w:tcPr>
          <w:p w:rsidR="00CE5995" w:rsidRDefault="00D37047">
            <w:pPr>
              <w:spacing w:line="360" w:lineRule="auto"/>
              <w:jc w:val="both"/>
              <w:rPr>
                <w:rFonts w:ascii="Rockwell" w:hAnsi="Rockwell" w:cs="Rockwell"/>
                <w:b/>
              </w:rPr>
            </w:pPr>
            <w:bookmarkStart w:id="46" w:name="_Toc22523"/>
            <w:r>
              <w:rPr>
                <w:rFonts w:ascii="Rockwell" w:hAnsi="Rockwell" w:cs="Rockwell"/>
                <w:b/>
              </w:rPr>
              <w:t>Regulations</w:t>
            </w:r>
            <w:bookmarkEnd w:id="46"/>
          </w:p>
        </w:tc>
        <w:tc>
          <w:tcPr>
            <w:tcW w:w="2775" w:type="dxa"/>
          </w:tcPr>
          <w:p w:rsidR="00CE5995" w:rsidRDefault="00D37047">
            <w:pPr>
              <w:spacing w:line="360" w:lineRule="auto"/>
              <w:jc w:val="both"/>
              <w:rPr>
                <w:rFonts w:ascii="Rockwell" w:hAnsi="Rockwell" w:cs="Rockwell"/>
                <w:b/>
              </w:rPr>
            </w:pPr>
            <w:bookmarkStart w:id="47" w:name="_Toc13078"/>
            <w:r>
              <w:rPr>
                <w:rFonts w:ascii="Rockwell" w:hAnsi="Rockwell" w:cs="Rockwell"/>
                <w:b/>
              </w:rPr>
              <w:t>Institutions</w:t>
            </w:r>
            <w:bookmarkEnd w:id="47"/>
          </w:p>
        </w:tc>
      </w:tr>
      <w:tr w:rsidR="00CE5995">
        <w:tc>
          <w:tcPr>
            <w:tcW w:w="2315" w:type="dxa"/>
          </w:tcPr>
          <w:p w:rsidR="00CE5995" w:rsidRDefault="00D37047">
            <w:pPr>
              <w:spacing w:line="360" w:lineRule="auto"/>
              <w:jc w:val="both"/>
              <w:rPr>
                <w:rFonts w:ascii="Rockwell" w:hAnsi="Rockwell" w:cs="Rockwell"/>
                <w:bCs/>
                <w:lang w:val="en-GB"/>
              </w:rPr>
            </w:pPr>
            <w:bookmarkStart w:id="48" w:name="_Toc25060"/>
            <w:r>
              <w:rPr>
                <w:rFonts w:ascii="Rockwell" w:hAnsi="Rockwell" w:cs="Rockwell"/>
                <w:bCs/>
                <w:lang w:val="en-GB"/>
              </w:rPr>
              <w:t>Constitution of Kenya, 2010</w:t>
            </w:r>
            <w:bookmarkEnd w:id="48"/>
          </w:p>
        </w:tc>
        <w:tc>
          <w:tcPr>
            <w:tcW w:w="2775" w:type="dxa"/>
          </w:tcPr>
          <w:p w:rsidR="00CE5995" w:rsidRDefault="008C54FF" w:rsidP="008C54FF">
            <w:pPr>
              <w:spacing w:line="360" w:lineRule="auto"/>
              <w:jc w:val="both"/>
              <w:rPr>
                <w:rFonts w:ascii="Rockwell" w:hAnsi="Rockwell" w:cs="Rockwell"/>
                <w:bCs/>
                <w:lang w:val="en-GB"/>
              </w:rPr>
            </w:pPr>
            <w:bookmarkStart w:id="49" w:name="_Toc2702"/>
            <w:r>
              <w:rPr>
                <w:rFonts w:ascii="Rockwell" w:hAnsi="Rockwell" w:cs="Rockwell"/>
                <w:bCs/>
                <w:lang w:val="en-GB"/>
              </w:rPr>
              <w:t>The Constitution</w:t>
            </w:r>
            <w:bookmarkEnd w:id="49"/>
          </w:p>
        </w:tc>
        <w:tc>
          <w:tcPr>
            <w:tcW w:w="3105" w:type="dxa"/>
          </w:tcPr>
          <w:p w:rsidR="00CE5995" w:rsidRDefault="00D37047">
            <w:pPr>
              <w:spacing w:line="360" w:lineRule="auto"/>
              <w:jc w:val="both"/>
              <w:rPr>
                <w:rFonts w:ascii="Rockwell" w:hAnsi="Rockwell" w:cs="Rockwell"/>
                <w:bCs/>
                <w:lang w:val="en-GB"/>
              </w:rPr>
            </w:pPr>
            <w:bookmarkStart w:id="50" w:name="_Toc20739"/>
            <w:r>
              <w:rPr>
                <w:rFonts w:ascii="Rockwell" w:hAnsi="Rockwell" w:cs="Rockwell"/>
                <w:bCs/>
                <w:lang w:val="en-GB"/>
              </w:rPr>
              <w:t>Article 42, 69, 70</w:t>
            </w:r>
            <w:bookmarkEnd w:id="50"/>
          </w:p>
        </w:tc>
        <w:tc>
          <w:tcPr>
            <w:tcW w:w="2970" w:type="dxa"/>
          </w:tcPr>
          <w:p w:rsidR="00CE5995" w:rsidRDefault="00D37047">
            <w:pPr>
              <w:spacing w:line="360" w:lineRule="auto"/>
              <w:jc w:val="both"/>
              <w:rPr>
                <w:rFonts w:ascii="Rockwell" w:hAnsi="Rockwell" w:cs="Rockwell"/>
                <w:bCs/>
                <w:lang w:val="en-GB"/>
              </w:rPr>
            </w:pPr>
            <w:bookmarkStart w:id="51" w:name="_Toc23866"/>
            <w:r>
              <w:rPr>
                <w:rFonts w:ascii="Rockwell" w:hAnsi="Rockwell" w:cs="Rockwell"/>
                <w:bCs/>
                <w:lang w:val="en-GB"/>
              </w:rPr>
              <w:t>Not Applicable</w:t>
            </w:r>
            <w:bookmarkEnd w:id="51"/>
          </w:p>
        </w:tc>
        <w:tc>
          <w:tcPr>
            <w:tcW w:w="2775" w:type="dxa"/>
          </w:tcPr>
          <w:p w:rsidR="00CE5995" w:rsidRDefault="00D37047">
            <w:pPr>
              <w:spacing w:line="360" w:lineRule="auto"/>
              <w:jc w:val="both"/>
              <w:rPr>
                <w:rFonts w:ascii="Rockwell" w:hAnsi="Rockwell" w:cs="Rockwell"/>
                <w:bCs/>
                <w:lang w:val="en-GB"/>
              </w:rPr>
            </w:pPr>
            <w:bookmarkStart w:id="52" w:name="_Toc30469"/>
            <w:r>
              <w:rPr>
                <w:rFonts w:ascii="Rockwell" w:hAnsi="Rockwell" w:cs="Rockwell"/>
                <w:bCs/>
                <w:lang w:val="en-GB"/>
              </w:rPr>
              <w:t>NLC, ELC</w:t>
            </w:r>
            <w:bookmarkEnd w:id="52"/>
          </w:p>
        </w:tc>
      </w:tr>
      <w:tr w:rsidR="00CE5995">
        <w:tc>
          <w:tcPr>
            <w:tcW w:w="2315" w:type="dxa"/>
          </w:tcPr>
          <w:p w:rsidR="00CE5995" w:rsidRDefault="00D37047">
            <w:pPr>
              <w:spacing w:line="360" w:lineRule="auto"/>
              <w:jc w:val="both"/>
              <w:rPr>
                <w:rFonts w:ascii="Rockwell" w:hAnsi="Rockwell" w:cs="Rockwell"/>
                <w:bCs/>
              </w:rPr>
            </w:pPr>
            <w:bookmarkStart w:id="53" w:name="_Toc5829"/>
            <w:r>
              <w:rPr>
                <w:rFonts w:ascii="Rockwell" w:hAnsi="Rockwell" w:cs="Rockwell"/>
                <w:bCs/>
              </w:rPr>
              <w:t>Policy</w:t>
            </w:r>
            <w:bookmarkEnd w:id="53"/>
          </w:p>
        </w:tc>
        <w:tc>
          <w:tcPr>
            <w:tcW w:w="2775" w:type="dxa"/>
          </w:tcPr>
          <w:p w:rsidR="00CE5995" w:rsidRDefault="00D37047">
            <w:pPr>
              <w:spacing w:line="360" w:lineRule="auto"/>
              <w:jc w:val="both"/>
              <w:rPr>
                <w:rFonts w:ascii="Rockwell" w:hAnsi="Rockwell" w:cs="Rockwell"/>
                <w:bCs/>
                <w:lang w:val="en-GB"/>
              </w:rPr>
            </w:pPr>
            <w:bookmarkStart w:id="54" w:name="_Toc14030"/>
            <w:r>
              <w:rPr>
                <w:rFonts w:ascii="Rockwell" w:hAnsi="Rockwell" w:cs="Rockwell"/>
                <w:bCs/>
              </w:rPr>
              <w:t>National Environment Policy</w:t>
            </w:r>
            <w:r>
              <w:rPr>
                <w:rFonts w:ascii="Rockwell" w:hAnsi="Rockwell" w:cs="Rockwell"/>
                <w:bCs/>
                <w:lang w:val="en-GB"/>
              </w:rPr>
              <w:t xml:space="preserve">, </w:t>
            </w:r>
            <w:r>
              <w:rPr>
                <w:rFonts w:ascii="Rockwell" w:hAnsi="Rockwell" w:cs="Rockwell"/>
                <w:bCs/>
              </w:rPr>
              <w:t xml:space="preserve">sessional paper no 10 of </w:t>
            </w:r>
            <w:r>
              <w:rPr>
                <w:rFonts w:ascii="Rockwell" w:hAnsi="Rockwell" w:cs="Rockwell"/>
                <w:bCs/>
                <w:lang w:val="en-GB"/>
              </w:rPr>
              <w:t>2013</w:t>
            </w:r>
            <w:bookmarkEnd w:id="54"/>
          </w:p>
        </w:tc>
        <w:tc>
          <w:tcPr>
            <w:tcW w:w="3105" w:type="dxa"/>
          </w:tcPr>
          <w:p w:rsidR="00CE5995" w:rsidRDefault="00D37047">
            <w:pPr>
              <w:spacing w:line="360" w:lineRule="auto"/>
              <w:jc w:val="both"/>
              <w:rPr>
                <w:rFonts w:ascii="Rockwell" w:hAnsi="Rockwell" w:cs="Rockwell"/>
                <w:bCs/>
              </w:rPr>
            </w:pPr>
            <w:bookmarkStart w:id="55" w:name="_Toc17605"/>
            <w:r>
              <w:rPr>
                <w:rFonts w:ascii="Rockwell" w:hAnsi="Rockwell" w:cs="Rockwell"/>
                <w:bCs/>
              </w:rPr>
              <w:t>Chapter 4 which also covers minerals in Kenya which encourages sustainable mining</w:t>
            </w:r>
            <w:bookmarkEnd w:id="55"/>
            <w:r>
              <w:rPr>
                <w:rFonts w:ascii="Rockwell" w:hAnsi="Rockwell" w:cs="Rockwell"/>
                <w:bCs/>
              </w:rPr>
              <w:t xml:space="preserve"> </w:t>
            </w:r>
          </w:p>
        </w:tc>
        <w:tc>
          <w:tcPr>
            <w:tcW w:w="2970" w:type="dxa"/>
          </w:tcPr>
          <w:p w:rsidR="00CE5995" w:rsidRDefault="00D37047">
            <w:pPr>
              <w:spacing w:line="360" w:lineRule="auto"/>
              <w:jc w:val="both"/>
              <w:rPr>
                <w:rFonts w:ascii="Rockwell" w:hAnsi="Rockwell" w:cs="Rockwell"/>
                <w:bCs/>
              </w:rPr>
            </w:pPr>
            <w:bookmarkStart w:id="56" w:name="_Toc19677"/>
            <w:r>
              <w:rPr>
                <w:rFonts w:ascii="Rockwell" w:hAnsi="Rockwell" w:cs="Rockwell"/>
                <w:bCs/>
              </w:rPr>
              <w:t>Not Applicable</w:t>
            </w:r>
            <w:bookmarkEnd w:id="56"/>
            <w:r>
              <w:rPr>
                <w:rFonts w:ascii="Rockwell" w:hAnsi="Rockwell" w:cs="Rockwell"/>
                <w:bCs/>
              </w:rPr>
              <w:t xml:space="preserve"> </w:t>
            </w:r>
          </w:p>
        </w:tc>
        <w:tc>
          <w:tcPr>
            <w:tcW w:w="2775" w:type="dxa"/>
          </w:tcPr>
          <w:p w:rsidR="00CE5995" w:rsidRDefault="00D37047">
            <w:pPr>
              <w:spacing w:line="360" w:lineRule="auto"/>
              <w:jc w:val="both"/>
              <w:rPr>
                <w:rFonts w:ascii="Rockwell" w:hAnsi="Rockwell" w:cs="Rockwell"/>
                <w:bCs/>
              </w:rPr>
            </w:pPr>
            <w:bookmarkStart w:id="57" w:name="_Toc27153"/>
            <w:r>
              <w:rPr>
                <w:rFonts w:ascii="Rockwell" w:hAnsi="Rockwell" w:cs="Rockwell"/>
                <w:bCs/>
              </w:rPr>
              <w:t>Ministry of Environment and Forestry, NEMA,</w:t>
            </w:r>
            <w:bookmarkEnd w:id="57"/>
            <w:r>
              <w:rPr>
                <w:rFonts w:ascii="Rockwell" w:hAnsi="Rockwell" w:cs="Rockwell"/>
                <w:bCs/>
              </w:rPr>
              <w:t xml:space="preserve"> </w:t>
            </w:r>
          </w:p>
        </w:tc>
      </w:tr>
      <w:tr w:rsidR="00CE5995">
        <w:tc>
          <w:tcPr>
            <w:tcW w:w="2315" w:type="dxa"/>
          </w:tcPr>
          <w:p w:rsidR="00CE5995" w:rsidRDefault="00CE5995">
            <w:pPr>
              <w:spacing w:line="360" w:lineRule="auto"/>
              <w:jc w:val="both"/>
              <w:rPr>
                <w:rFonts w:ascii="Rockwell" w:hAnsi="Rockwell" w:cs="Rockwell"/>
                <w:bCs/>
              </w:rPr>
            </w:pPr>
          </w:p>
        </w:tc>
        <w:tc>
          <w:tcPr>
            <w:tcW w:w="2775" w:type="dxa"/>
          </w:tcPr>
          <w:p w:rsidR="00CE5995" w:rsidRDefault="00D37047">
            <w:pPr>
              <w:spacing w:line="360" w:lineRule="auto"/>
              <w:jc w:val="both"/>
              <w:rPr>
                <w:rFonts w:ascii="Rockwell" w:hAnsi="Rockwell" w:cs="Rockwell"/>
                <w:bCs/>
                <w:lang w:val="en-GB"/>
              </w:rPr>
            </w:pPr>
            <w:bookmarkStart w:id="58" w:name="_Toc20402"/>
            <w:r>
              <w:rPr>
                <w:rFonts w:ascii="Rockwell" w:hAnsi="Rockwell" w:cs="Rockwell"/>
                <w:bCs/>
              </w:rPr>
              <w:t xml:space="preserve">Mining </w:t>
            </w:r>
            <w:r>
              <w:rPr>
                <w:rFonts w:ascii="Rockwell" w:hAnsi="Rockwell" w:cs="Rockwell"/>
                <w:bCs/>
                <w:lang w:val="en-GB"/>
              </w:rPr>
              <w:t xml:space="preserve">and Minerals </w:t>
            </w:r>
            <w:r>
              <w:rPr>
                <w:rFonts w:ascii="Rockwell" w:hAnsi="Rockwell" w:cs="Rockwell"/>
                <w:bCs/>
              </w:rPr>
              <w:t>Policy</w:t>
            </w:r>
            <w:r>
              <w:rPr>
                <w:rFonts w:ascii="Rockwell" w:hAnsi="Rockwell" w:cs="Rockwell"/>
                <w:bCs/>
                <w:lang w:val="en-GB"/>
              </w:rPr>
              <w:t xml:space="preserve">, </w:t>
            </w:r>
            <w:r>
              <w:rPr>
                <w:rFonts w:ascii="Rockwell" w:hAnsi="Rockwell" w:cs="Rockwell"/>
                <w:bCs/>
              </w:rPr>
              <w:t xml:space="preserve">sessional paper no 7 of </w:t>
            </w:r>
            <w:r>
              <w:rPr>
                <w:rFonts w:ascii="Rockwell" w:hAnsi="Rockwell" w:cs="Rockwell"/>
                <w:bCs/>
                <w:lang w:val="en-GB"/>
              </w:rPr>
              <w:t>2016</w:t>
            </w:r>
            <w:bookmarkEnd w:id="58"/>
          </w:p>
        </w:tc>
        <w:tc>
          <w:tcPr>
            <w:tcW w:w="3105" w:type="dxa"/>
          </w:tcPr>
          <w:p w:rsidR="00CE5995" w:rsidRDefault="00D37047">
            <w:pPr>
              <w:spacing w:line="360" w:lineRule="auto"/>
              <w:jc w:val="both"/>
              <w:rPr>
                <w:rFonts w:ascii="Rockwell" w:hAnsi="Rockwell" w:cs="Rockwell"/>
                <w:bCs/>
              </w:rPr>
            </w:pPr>
            <w:bookmarkStart w:id="59" w:name="_Toc3591"/>
            <w:r>
              <w:rPr>
                <w:rFonts w:ascii="Rockwell" w:hAnsi="Rockwell" w:cs="Rockwell"/>
                <w:bCs/>
              </w:rPr>
              <w:t>The entire Policy is relevant</w:t>
            </w:r>
            <w:bookmarkEnd w:id="59"/>
            <w:r>
              <w:rPr>
                <w:rFonts w:ascii="Rockwell" w:hAnsi="Rockwell" w:cs="Rockwell"/>
                <w:bCs/>
              </w:rPr>
              <w:t xml:space="preserve"> </w:t>
            </w:r>
          </w:p>
        </w:tc>
        <w:tc>
          <w:tcPr>
            <w:tcW w:w="2970" w:type="dxa"/>
          </w:tcPr>
          <w:p w:rsidR="00CE5995" w:rsidRDefault="00D37047">
            <w:pPr>
              <w:spacing w:line="360" w:lineRule="auto"/>
              <w:jc w:val="both"/>
              <w:rPr>
                <w:rFonts w:ascii="Rockwell" w:hAnsi="Rockwell" w:cs="Rockwell"/>
                <w:bCs/>
              </w:rPr>
            </w:pPr>
            <w:bookmarkStart w:id="60" w:name="_Toc20622"/>
            <w:r>
              <w:rPr>
                <w:rFonts w:ascii="Rockwell" w:hAnsi="Rockwell" w:cs="Rockwell"/>
                <w:bCs/>
              </w:rPr>
              <w:t>Not Applicable</w:t>
            </w:r>
            <w:bookmarkEnd w:id="60"/>
          </w:p>
        </w:tc>
        <w:tc>
          <w:tcPr>
            <w:tcW w:w="2775" w:type="dxa"/>
          </w:tcPr>
          <w:p w:rsidR="00CE5995" w:rsidRDefault="00D37047">
            <w:pPr>
              <w:spacing w:line="360" w:lineRule="auto"/>
              <w:jc w:val="both"/>
              <w:rPr>
                <w:rFonts w:ascii="Rockwell" w:hAnsi="Rockwell" w:cs="Rockwell"/>
                <w:bCs/>
              </w:rPr>
            </w:pPr>
            <w:bookmarkStart w:id="61" w:name="_Toc28377"/>
            <w:proofErr w:type="spellStart"/>
            <w:r>
              <w:rPr>
                <w:rFonts w:ascii="Rockwell" w:hAnsi="Rockwell" w:cs="Rockwell"/>
                <w:bCs/>
                <w:lang w:val="en-GB"/>
              </w:rPr>
              <w:t>DoM</w:t>
            </w:r>
            <w:proofErr w:type="spellEnd"/>
            <w:r>
              <w:rPr>
                <w:rFonts w:ascii="Rockwell" w:hAnsi="Rockwell" w:cs="Rockwell"/>
                <w:bCs/>
                <w:lang w:val="en-GB"/>
              </w:rPr>
              <w:t xml:space="preserve">, </w:t>
            </w:r>
            <w:proofErr w:type="spellStart"/>
            <w:r>
              <w:rPr>
                <w:rFonts w:ascii="Rockwell" w:hAnsi="Rockwell" w:cs="Rockwell"/>
                <w:bCs/>
                <w:lang w:val="en-GB"/>
              </w:rPr>
              <w:t>DoGS</w:t>
            </w:r>
            <w:proofErr w:type="spellEnd"/>
            <w:r>
              <w:rPr>
                <w:rFonts w:ascii="Rockwell" w:hAnsi="Rockwell" w:cs="Rockwell"/>
                <w:bCs/>
                <w:lang w:val="en-GB"/>
              </w:rPr>
              <w:t xml:space="preserve">, </w:t>
            </w:r>
            <w:proofErr w:type="spellStart"/>
            <w:r>
              <w:rPr>
                <w:rFonts w:ascii="Rockwell" w:hAnsi="Rockwell" w:cs="Rockwell"/>
                <w:bCs/>
                <w:lang w:val="en-GB"/>
              </w:rPr>
              <w:t>DoMP&amp;VA</w:t>
            </w:r>
            <w:proofErr w:type="spellEnd"/>
            <w:r>
              <w:rPr>
                <w:rFonts w:ascii="Rockwell" w:hAnsi="Rockwell" w:cs="Rockwell"/>
                <w:bCs/>
                <w:lang w:val="en-GB"/>
              </w:rPr>
              <w:t>, NMC</w:t>
            </w:r>
            <w:bookmarkEnd w:id="61"/>
          </w:p>
        </w:tc>
      </w:tr>
      <w:tr w:rsidR="00CE5995">
        <w:tc>
          <w:tcPr>
            <w:tcW w:w="2315" w:type="dxa"/>
            <w:vMerge w:val="restart"/>
          </w:tcPr>
          <w:p w:rsidR="00CE5995" w:rsidRDefault="00D37047">
            <w:pPr>
              <w:spacing w:line="360" w:lineRule="auto"/>
              <w:jc w:val="both"/>
              <w:rPr>
                <w:rFonts w:ascii="Rockwell" w:hAnsi="Rockwell" w:cs="Rockwell"/>
                <w:bCs/>
              </w:rPr>
            </w:pPr>
            <w:bookmarkStart w:id="62" w:name="_Toc1795"/>
            <w:r>
              <w:rPr>
                <w:rFonts w:ascii="Rockwell" w:hAnsi="Rockwell" w:cs="Rockwell"/>
                <w:bCs/>
              </w:rPr>
              <w:t>Law</w:t>
            </w:r>
            <w:bookmarkEnd w:id="62"/>
          </w:p>
        </w:tc>
        <w:tc>
          <w:tcPr>
            <w:tcW w:w="2775" w:type="dxa"/>
          </w:tcPr>
          <w:p w:rsidR="00CE5995" w:rsidRDefault="00D37047">
            <w:pPr>
              <w:spacing w:line="360" w:lineRule="auto"/>
              <w:jc w:val="both"/>
              <w:rPr>
                <w:rFonts w:ascii="Rockwell" w:hAnsi="Rockwell" w:cs="Rockwell"/>
                <w:bCs/>
                <w:lang w:val="en-GB"/>
              </w:rPr>
            </w:pPr>
            <w:bookmarkStart w:id="63" w:name="_Toc14163"/>
            <w:r>
              <w:rPr>
                <w:rFonts w:ascii="Rockwell" w:hAnsi="Rockwell" w:cs="Rockwell"/>
                <w:bCs/>
              </w:rPr>
              <w:t>EMCA</w:t>
            </w:r>
            <w:r>
              <w:rPr>
                <w:rFonts w:ascii="Rockwell" w:hAnsi="Rockwell" w:cs="Rockwell"/>
                <w:bCs/>
                <w:lang w:val="en-GB"/>
              </w:rPr>
              <w:t>, 1999</w:t>
            </w:r>
            <w:bookmarkEnd w:id="63"/>
          </w:p>
        </w:tc>
        <w:tc>
          <w:tcPr>
            <w:tcW w:w="3105" w:type="dxa"/>
          </w:tcPr>
          <w:p w:rsidR="00CE5995" w:rsidRDefault="00D37047">
            <w:pPr>
              <w:spacing w:line="360" w:lineRule="auto"/>
              <w:jc w:val="both"/>
              <w:rPr>
                <w:rFonts w:ascii="Rockwell" w:hAnsi="Rockwell" w:cs="Rockwell"/>
                <w:bCs/>
                <w:lang w:val="en-GB"/>
              </w:rPr>
            </w:pPr>
            <w:bookmarkStart w:id="64" w:name="_Toc1579"/>
            <w:r>
              <w:rPr>
                <w:rFonts w:ascii="Rockwell" w:hAnsi="Rockwell" w:cs="Rockwell"/>
                <w:bCs/>
                <w:lang w:val="en-GB"/>
              </w:rPr>
              <w:t xml:space="preserve">Section 3, 9, </w:t>
            </w:r>
            <w:r w:rsidR="00C569B7">
              <w:rPr>
                <w:rFonts w:ascii="Rockwell" w:hAnsi="Rockwell" w:cs="Rockwell"/>
                <w:bCs/>
                <w:lang w:val="en-GB"/>
              </w:rPr>
              <w:t xml:space="preserve">24, </w:t>
            </w:r>
            <w:r>
              <w:rPr>
                <w:rFonts w:ascii="Rockwell" w:hAnsi="Rockwell" w:cs="Rockwell"/>
                <w:bCs/>
                <w:lang w:val="en-GB"/>
              </w:rPr>
              <w:t xml:space="preserve">28, 29, </w:t>
            </w:r>
            <w:r w:rsidR="00C569B7">
              <w:rPr>
                <w:rFonts w:ascii="Rockwell" w:hAnsi="Rockwell" w:cs="Rockwell"/>
                <w:bCs/>
                <w:lang w:val="en-GB"/>
              </w:rPr>
              <w:t xml:space="preserve">31, </w:t>
            </w:r>
            <w:r>
              <w:rPr>
                <w:rFonts w:ascii="Rockwell" w:hAnsi="Rockwell" w:cs="Rockwell"/>
                <w:bCs/>
                <w:lang w:val="en-GB"/>
              </w:rPr>
              <w:t>57A, 58, 68, 108, 117</w:t>
            </w:r>
            <w:bookmarkEnd w:id="64"/>
            <w:r w:rsidR="00C569B7">
              <w:rPr>
                <w:rFonts w:ascii="Rockwell" w:hAnsi="Rockwell" w:cs="Rockwell"/>
                <w:bCs/>
                <w:lang w:val="en-GB"/>
              </w:rPr>
              <w:t xml:space="preserve">, 125, </w:t>
            </w:r>
          </w:p>
        </w:tc>
        <w:tc>
          <w:tcPr>
            <w:tcW w:w="2970" w:type="dxa"/>
          </w:tcPr>
          <w:p w:rsidR="00CE5995" w:rsidRDefault="00247710">
            <w:p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 xml:space="preserve">Environmental  (Impact Assessment and Audit) </w:t>
            </w:r>
            <w:r w:rsidR="00D37047">
              <w:rPr>
                <w:rFonts w:ascii="Rockwell" w:eastAsiaTheme="minorHAnsi" w:hAnsi="Rockwell" w:cs="Rockwell"/>
                <w:bCs/>
                <w:lang w:val="en-GB"/>
              </w:rPr>
              <w:t>Regulations, 2003</w:t>
            </w:r>
          </w:p>
          <w:p w:rsidR="00CE5995" w:rsidRDefault="00CE5995">
            <w:pPr>
              <w:autoSpaceDE w:val="0"/>
              <w:autoSpaceDN w:val="0"/>
              <w:adjustRightInd w:val="0"/>
              <w:spacing w:line="360" w:lineRule="auto"/>
              <w:jc w:val="both"/>
              <w:rPr>
                <w:rFonts w:ascii="Rockwell" w:eastAsiaTheme="minorHAnsi" w:hAnsi="Rockwell" w:cs="Rockwell"/>
                <w:bCs/>
                <w:lang w:val="en-GB"/>
              </w:rPr>
            </w:pPr>
          </w:p>
          <w:p w:rsidR="00CE5995" w:rsidRDefault="00247710">
            <w:p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Environmental Management and Coordination (</w:t>
            </w:r>
            <w:r w:rsidR="00D37047">
              <w:rPr>
                <w:rFonts w:ascii="Rockwell" w:eastAsiaTheme="minorHAnsi" w:hAnsi="Rockwell" w:cs="Rockwell"/>
                <w:bCs/>
                <w:lang w:val="en-GB"/>
              </w:rPr>
              <w:t>Waste Management</w:t>
            </w:r>
            <w:r>
              <w:rPr>
                <w:rFonts w:ascii="Rockwell" w:eastAsiaTheme="minorHAnsi" w:hAnsi="Rockwell" w:cs="Rockwell"/>
                <w:bCs/>
                <w:lang w:val="en-GB"/>
              </w:rPr>
              <w:t>)</w:t>
            </w:r>
            <w:r w:rsidR="00D37047">
              <w:rPr>
                <w:rFonts w:ascii="Rockwell" w:eastAsiaTheme="minorHAnsi" w:hAnsi="Rockwell" w:cs="Rockwell"/>
                <w:bCs/>
                <w:lang w:val="en-GB"/>
              </w:rPr>
              <w:t xml:space="preserve"> Regulations, 2006</w:t>
            </w:r>
          </w:p>
          <w:p w:rsidR="00CE5995" w:rsidRDefault="00CE5995">
            <w:pPr>
              <w:autoSpaceDE w:val="0"/>
              <w:autoSpaceDN w:val="0"/>
              <w:adjustRightInd w:val="0"/>
              <w:spacing w:line="360" w:lineRule="auto"/>
              <w:jc w:val="both"/>
              <w:rPr>
                <w:rFonts w:ascii="Rockwell" w:eastAsiaTheme="minorHAnsi" w:hAnsi="Rockwell" w:cs="Rockwell"/>
                <w:bCs/>
                <w:lang w:val="en-GB"/>
              </w:rPr>
            </w:pPr>
          </w:p>
          <w:p w:rsidR="00CE5995" w:rsidRDefault="00247710">
            <w:p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lastRenderedPageBreak/>
              <w:t>Environmental Management and Coordination (</w:t>
            </w:r>
            <w:r w:rsidR="00D37047">
              <w:rPr>
                <w:rFonts w:ascii="Rockwell" w:eastAsiaTheme="minorHAnsi" w:hAnsi="Rockwell" w:cs="Rockwell"/>
                <w:bCs/>
                <w:lang w:val="en-GB"/>
              </w:rPr>
              <w:t>Noise &amp; Excessive Vibrations</w:t>
            </w:r>
            <w:r>
              <w:rPr>
                <w:rFonts w:ascii="Rockwell" w:eastAsiaTheme="minorHAnsi" w:hAnsi="Rockwell" w:cs="Rockwell"/>
                <w:bCs/>
                <w:lang w:val="en-GB"/>
              </w:rPr>
              <w:t>)</w:t>
            </w:r>
            <w:r w:rsidR="00D37047">
              <w:rPr>
                <w:rFonts w:ascii="Rockwell" w:eastAsiaTheme="minorHAnsi" w:hAnsi="Rockwell" w:cs="Rockwell"/>
                <w:bCs/>
                <w:lang w:val="en-GB"/>
              </w:rPr>
              <w:t xml:space="preserve"> Regulations, 2009</w:t>
            </w:r>
          </w:p>
          <w:p w:rsidR="00CE5995" w:rsidRDefault="00CE5995">
            <w:pPr>
              <w:autoSpaceDE w:val="0"/>
              <w:autoSpaceDN w:val="0"/>
              <w:adjustRightInd w:val="0"/>
              <w:spacing w:line="360" w:lineRule="auto"/>
              <w:jc w:val="both"/>
              <w:rPr>
                <w:rFonts w:ascii="Rockwell" w:eastAsiaTheme="minorHAnsi" w:hAnsi="Rockwell" w:cs="Rockwell"/>
                <w:bCs/>
                <w:lang w:val="en-GB"/>
              </w:rPr>
            </w:pPr>
          </w:p>
          <w:p w:rsidR="00CE5995" w:rsidRDefault="00247710">
            <w:p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Environmental Management and Coordination (</w:t>
            </w:r>
            <w:r w:rsidR="00D37047">
              <w:rPr>
                <w:rFonts w:ascii="Rockwell" w:eastAsiaTheme="minorHAnsi" w:hAnsi="Rockwell" w:cs="Rockwell"/>
                <w:bCs/>
                <w:lang w:val="en-GB"/>
              </w:rPr>
              <w:t>Water Quality</w:t>
            </w:r>
            <w:r>
              <w:rPr>
                <w:rFonts w:ascii="Rockwell" w:eastAsiaTheme="minorHAnsi" w:hAnsi="Rockwell" w:cs="Rockwell"/>
                <w:bCs/>
                <w:lang w:val="en-GB"/>
              </w:rPr>
              <w:t>)</w:t>
            </w:r>
            <w:r w:rsidR="00D37047">
              <w:rPr>
                <w:rFonts w:ascii="Rockwell" w:eastAsiaTheme="minorHAnsi" w:hAnsi="Rockwell" w:cs="Rockwell"/>
                <w:bCs/>
                <w:lang w:val="en-GB"/>
              </w:rPr>
              <w:t xml:space="preserve"> Regulations, 2006</w:t>
            </w:r>
          </w:p>
          <w:p w:rsidR="00CE5995" w:rsidRDefault="00CE5995">
            <w:pPr>
              <w:autoSpaceDE w:val="0"/>
              <w:autoSpaceDN w:val="0"/>
              <w:adjustRightInd w:val="0"/>
              <w:spacing w:line="360" w:lineRule="auto"/>
              <w:jc w:val="both"/>
              <w:rPr>
                <w:rFonts w:ascii="Rockwell" w:eastAsiaTheme="minorHAnsi" w:hAnsi="Rockwell" w:cs="Rockwell"/>
                <w:bCs/>
                <w:lang w:val="en-GB"/>
              </w:rPr>
            </w:pPr>
          </w:p>
          <w:p w:rsidR="00CE5995" w:rsidRDefault="00247710">
            <w:p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Environmental Management and Coordination (</w:t>
            </w:r>
            <w:r w:rsidR="00D37047">
              <w:rPr>
                <w:rFonts w:ascii="Rockwell" w:eastAsiaTheme="minorHAnsi" w:hAnsi="Rockwell" w:cs="Rockwell"/>
                <w:bCs/>
                <w:lang w:val="en-GB"/>
              </w:rPr>
              <w:t>Air Quality</w:t>
            </w:r>
            <w:r>
              <w:rPr>
                <w:rFonts w:ascii="Rockwell" w:eastAsiaTheme="minorHAnsi" w:hAnsi="Rockwell" w:cs="Rockwell"/>
                <w:bCs/>
                <w:lang w:val="en-GB"/>
              </w:rPr>
              <w:t>)</w:t>
            </w:r>
            <w:r w:rsidR="00D37047">
              <w:rPr>
                <w:rFonts w:ascii="Rockwell" w:eastAsiaTheme="minorHAnsi" w:hAnsi="Rockwell" w:cs="Rockwell"/>
                <w:bCs/>
                <w:lang w:val="en-GB"/>
              </w:rPr>
              <w:t xml:space="preserve"> Regulations, 2014</w:t>
            </w:r>
          </w:p>
          <w:p w:rsidR="00CE5995" w:rsidRDefault="00CE5995">
            <w:pPr>
              <w:autoSpaceDE w:val="0"/>
              <w:autoSpaceDN w:val="0"/>
              <w:adjustRightInd w:val="0"/>
              <w:spacing w:line="360" w:lineRule="auto"/>
              <w:jc w:val="both"/>
              <w:rPr>
                <w:rFonts w:ascii="Rockwell" w:eastAsiaTheme="minorHAnsi" w:hAnsi="Rockwell" w:cs="Rockwell"/>
                <w:bCs/>
                <w:lang w:val="en-GB"/>
              </w:rPr>
            </w:pPr>
          </w:p>
          <w:p w:rsidR="00CE5995" w:rsidRDefault="00247710" w:rsidP="00420D0B">
            <w:p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Environmental Management and Coordination (</w:t>
            </w:r>
            <w:r w:rsidR="00D37047">
              <w:rPr>
                <w:rFonts w:ascii="Rockwell" w:eastAsiaTheme="minorHAnsi" w:hAnsi="Rockwell" w:cs="Rockwell"/>
                <w:bCs/>
              </w:rPr>
              <w:t>Conservation of Biological Diversity and resources, access to genetic resources and benefit sharing</w:t>
            </w:r>
            <w:r>
              <w:rPr>
                <w:rFonts w:ascii="Rockwell" w:eastAsiaTheme="minorHAnsi" w:hAnsi="Rockwell" w:cs="Rockwell"/>
                <w:bCs/>
              </w:rPr>
              <w:t>)</w:t>
            </w:r>
            <w:r w:rsidR="00D37047">
              <w:rPr>
                <w:rFonts w:ascii="Rockwell" w:eastAsiaTheme="minorHAnsi" w:hAnsi="Rockwell" w:cs="Rockwell"/>
                <w:bCs/>
              </w:rPr>
              <w:t xml:space="preserve"> </w:t>
            </w:r>
            <w:r w:rsidR="00D37047">
              <w:rPr>
                <w:rFonts w:ascii="Rockwell" w:eastAsiaTheme="minorHAnsi" w:hAnsi="Rockwell" w:cs="Rockwell"/>
                <w:bCs/>
              </w:rPr>
              <w:lastRenderedPageBreak/>
              <w:t>resources, 2006</w:t>
            </w:r>
          </w:p>
        </w:tc>
        <w:tc>
          <w:tcPr>
            <w:tcW w:w="2775" w:type="dxa"/>
          </w:tcPr>
          <w:p w:rsidR="00CE5995" w:rsidRDefault="00D37047">
            <w:pPr>
              <w:spacing w:line="360" w:lineRule="auto"/>
              <w:jc w:val="both"/>
              <w:rPr>
                <w:rFonts w:ascii="Rockwell" w:hAnsi="Rockwell" w:cs="Rockwell"/>
                <w:bCs/>
                <w:lang w:val="en-GB"/>
              </w:rPr>
            </w:pPr>
            <w:bookmarkStart w:id="65" w:name="_Toc23480"/>
            <w:r>
              <w:rPr>
                <w:rFonts w:ascii="Rockwell" w:hAnsi="Rockwell" w:cs="Rockwell"/>
                <w:bCs/>
              </w:rPr>
              <w:lastRenderedPageBreak/>
              <w:t>NEMA, NET</w:t>
            </w:r>
            <w:r>
              <w:rPr>
                <w:rFonts w:ascii="Rockwell" w:hAnsi="Rockwell" w:cs="Rockwell"/>
                <w:bCs/>
                <w:lang w:val="en-GB"/>
              </w:rPr>
              <w:t>, NECC, NETFUND, CEC</w:t>
            </w:r>
            <w:bookmarkEnd w:id="65"/>
          </w:p>
        </w:tc>
      </w:tr>
      <w:tr w:rsidR="00CE5995">
        <w:tc>
          <w:tcPr>
            <w:tcW w:w="2315" w:type="dxa"/>
            <w:vMerge/>
          </w:tcPr>
          <w:p w:rsidR="00CE5995" w:rsidRDefault="00CE5995">
            <w:pPr>
              <w:spacing w:line="360" w:lineRule="auto"/>
              <w:jc w:val="both"/>
              <w:rPr>
                <w:rFonts w:ascii="Rockwell" w:hAnsi="Rockwell" w:cs="Rockwell"/>
                <w:bCs/>
              </w:rPr>
            </w:pPr>
          </w:p>
        </w:tc>
        <w:tc>
          <w:tcPr>
            <w:tcW w:w="2775" w:type="dxa"/>
          </w:tcPr>
          <w:p w:rsidR="00CE5995" w:rsidRDefault="00D37047">
            <w:pPr>
              <w:spacing w:line="360" w:lineRule="auto"/>
              <w:jc w:val="both"/>
              <w:rPr>
                <w:rFonts w:ascii="Rockwell" w:hAnsi="Rockwell" w:cs="Rockwell"/>
                <w:bCs/>
              </w:rPr>
            </w:pPr>
            <w:bookmarkStart w:id="66" w:name="_Toc12422"/>
            <w:r>
              <w:rPr>
                <w:rFonts w:ascii="Rockwell" w:hAnsi="Rockwell" w:cs="Rockwell"/>
                <w:bCs/>
              </w:rPr>
              <w:t>Mining Act 2016</w:t>
            </w:r>
            <w:bookmarkEnd w:id="66"/>
          </w:p>
        </w:tc>
        <w:tc>
          <w:tcPr>
            <w:tcW w:w="3105" w:type="dxa"/>
          </w:tcPr>
          <w:p w:rsidR="00CE5995" w:rsidRDefault="00D37047">
            <w:pPr>
              <w:spacing w:line="360" w:lineRule="auto"/>
              <w:jc w:val="both"/>
              <w:rPr>
                <w:rFonts w:ascii="Rockwell" w:hAnsi="Rockwell" w:cs="Rockwell"/>
                <w:bCs/>
              </w:rPr>
            </w:pPr>
            <w:bookmarkStart w:id="67" w:name="_Toc7849"/>
            <w:r>
              <w:rPr>
                <w:rFonts w:ascii="Rockwell" w:hAnsi="Rockwell" w:cs="Rockwell"/>
                <w:bCs/>
              </w:rPr>
              <w:t>The entire Act is applicable</w:t>
            </w:r>
            <w:bookmarkEnd w:id="67"/>
            <w:r>
              <w:rPr>
                <w:rFonts w:ascii="Rockwell" w:hAnsi="Rockwell" w:cs="Rockwell"/>
                <w:bCs/>
              </w:rPr>
              <w:t xml:space="preserve"> </w:t>
            </w:r>
          </w:p>
        </w:tc>
        <w:tc>
          <w:tcPr>
            <w:tcW w:w="2970" w:type="dxa"/>
          </w:tcPr>
          <w:p w:rsidR="00CE5995" w:rsidRDefault="00D37047">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 xml:space="preserve">Mining (Work Programmes and Exploration Reports) </w:t>
            </w:r>
            <w:r w:rsidR="00313495">
              <w:rPr>
                <w:rFonts w:ascii="Rockwell" w:eastAsiaTheme="minorHAnsi" w:hAnsi="Rockwell" w:cs="Rockwell"/>
                <w:bCs/>
                <w:lang w:val="en-GB"/>
              </w:rPr>
              <w:t>Guideline</w:t>
            </w:r>
            <w:r>
              <w:rPr>
                <w:rFonts w:ascii="Rockwell" w:eastAsiaTheme="minorHAnsi" w:hAnsi="Rockwell" w:cs="Rockwell"/>
                <w:bCs/>
                <w:lang w:val="en-GB"/>
              </w:rPr>
              <w:t>, 2017</w:t>
            </w:r>
          </w:p>
          <w:p w:rsidR="00CE5995" w:rsidRDefault="00CE5995">
            <w:pPr>
              <w:widowControl/>
              <w:autoSpaceDE w:val="0"/>
              <w:autoSpaceDN w:val="0"/>
              <w:adjustRightInd w:val="0"/>
              <w:spacing w:line="360" w:lineRule="auto"/>
              <w:jc w:val="both"/>
              <w:rPr>
                <w:rFonts w:ascii="Rockwell" w:eastAsiaTheme="minorHAnsi" w:hAnsi="Rockwell" w:cs="Rockwell"/>
                <w:bCs/>
                <w:lang w:val="en-GB"/>
              </w:rPr>
            </w:pPr>
          </w:p>
          <w:p w:rsidR="00CE5995" w:rsidRDefault="00D37047">
            <w:pPr>
              <w:widowControl/>
              <w:numPr>
                <w:ilvl w:val="255"/>
                <w:numId w:val="0"/>
              </w:numPr>
              <w:autoSpaceDE w:val="0"/>
              <w:autoSpaceDN w:val="0"/>
              <w:adjustRightInd w:val="0"/>
              <w:spacing w:line="360" w:lineRule="auto"/>
              <w:jc w:val="both"/>
              <w:rPr>
                <w:rFonts w:ascii="Rockwell" w:hAnsi="Rockwell" w:cs="Rockwell"/>
                <w:bCs/>
              </w:rPr>
            </w:pPr>
            <w:r>
              <w:rPr>
                <w:rFonts w:ascii="Rockwell" w:hAnsi="Rockwell" w:cs="Rockwell"/>
                <w:bCs/>
              </w:rPr>
              <w:t>Mining (</w:t>
            </w:r>
            <w:proofErr w:type="spellStart"/>
            <w:r>
              <w:rPr>
                <w:rFonts w:ascii="Rockwell" w:hAnsi="Rockwell" w:cs="Rockwell"/>
                <w:bCs/>
              </w:rPr>
              <w:t>Licence</w:t>
            </w:r>
            <w:proofErr w:type="spellEnd"/>
            <w:r>
              <w:rPr>
                <w:rFonts w:ascii="Rockwell" w:hAnsi="Rockwell" w:cs="Rockwell"/>
                <w:bCs/>
              </w:rPr>
              <w:t xml:space="preserve"> and Permit) Regulations, 2017.</w:t>
            </w:r>
          </w:p>
          <w:p w:rsidR="00CE5995" w:rsidRDefault="00CE5995">
            <w:pPr>
              <w:widowControl/>
              <w:numPr>
                <w:ilvl w:val="255"/>
                <w:numId w:val="0"/>
              </w:numPr>
              <w:autoSpaceDE w:val="0"/>
              <w:autoSpaceDN w:val="0"/>
              <w:adjustRightInd w:val="0"/>
              <w:spacing w:line="360" w:lineRule="auto"/>
              <w:jc w:val="both"/>
              <w:rPr>
                <w:rFonts w:ascii="Rockwell" w:hAnsi="Rockwell" w:cs="Rockwell"/>
                <w:bCs/>
              </w:rPr>
            </w:pPr>
          </w:p>
          <w:p w:rsidR="00CE5995" w:rsidRDefault="00D37047">
            <w:pPr>
              <w:widowControl/>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Mining (Dealings in Minerals) Regulations, 2017.</w:t>
            </w:r>
          </w:p>
          <w:p w:rsidR="00CE5995" w:rsidRDefault="00CE5995">
            <w:pPr>
              <w:widowControl/>
              <w:autoSpaceDE w:val="0"/>
              <w:autoSpaceDN w:val="0"/>
              <w:adjustRightInd w:val="0"/>
              <w:spacing w:line="360" w:lineRule="auto"/>
              <w:jc w:val="both"/>
              <w:rPr>
                <w:rFonts w:ascii="Rockwell" w:eastAsiaTheme="minorHAnsi" w:hAnsi="Rockwell" w:cs="Rockwell"/>
                <w:bCs/>
                <w:lang w:val="en-GB"/>
              </w:rPr>
            </w:pPr>
          </w:p>
          <w:p w:rsidR="00CE5995" w:rsidRDefault="00D37047">
            <w:pPr>
              <w:widowControl/>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Mining (Community Development Agreement) Regulations, 2017.</w:t>
            </w:r>
          </w:p>
          <w:p w:rsidR="00CE5995" w:rsidRDefault="00CE5995">
            <w:pPr>
              <w:widowControl/>
              <w:autoSpaceDE w:val="0"/>
              <w:autoSpaceDN w:val="0"/>
              <w:adjustRightInd w:val="0"/>
              <w:spacing w:line="360" w:lineRule="auto"/>
              <w:jc w:val="both"/>
              <w:rPr>
                <w:rFonts w:ascii="Rockwell" w:eastAsiaTheme="minorHAnsi" w:hAnsi="Rockwell" w:cs="Rockwell"/>
                <w:bCs/>
                <w:lang w:val="en-GB"/>
              </w:rPr>
            </w:pPr>
          </w:p>
          <w:p w:rsidR="00CE5995" w:rsidRDefault="00D37047">
            <w:pPr>
              <w:widowControl/>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Mining (Strategic Minerals) Regulations, 2017.</w:t>
            </w:r>
          </w:p>
          <w:p w:rsidR="00CE5995" w:rsidRDefault="00CE5995">
            <w:pPr>
              <w:widowControl/>
              <w:autoSpaceDE w:val="0"/>
              <w:autoSpaceDN w:val="0"/>
              <w:adjustRightInd w:val="0"/>
              <w:spacing w:line="360" w:lineRule="auto"/>
              <w:jc w:val="both"/>
              <w:rPr>
                <w:rFonts w:ascii="Rockwell" w:eastAsiaTheme="minorHAnsi" w:hAnsi="Rockwell" w:cs="Rockwell"/>
                <w:bCs/>
                <w:lang w:val="en-GB"/>
              </w:rPr>
            </w:pPr>
          </w:p>
          <w:p w:rsidR="00CE5995" w:rsidRDefault="00D37047">
            <w:pPr>
              <w:widowControl/>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Mining (Mine Support Services) Regulations, 2017.</w:t>
            </w:r>
          </w:p>
          <w:p w:rsidR="00CE5995" w:rsidRDefault="00CE5995">
            <w:pPr>
              <w:widowControl/>
              <w:autoSpaceDE w:val="0"/>
              <w:autoSpaceDN w:val="0"/>
              <w:adjustRightInd w:val="0"/>
              <w:spacing w:line="360" w:lineRule="auto"/>
              <w:jc w:val="both"/>
              <w:rPr>
                <w:rFonts w:ascii="Rockwell" w:eastAsiaTheme="minorHAnsi" w:hAnsi="Rockwell" w:cs="Rockwell"/>
                <w:bCs/>
                <w:lang w:val="en-GB"/>
              </w:rPr>
            </w:pPr>
          </w:p>
          <w:p w:rsidR="00CE5995" w:rsidRDefault="00D37047">
            <w:pPr>
              <w:widowControl/>
              <w:autoSpaceDE w:val="0"/>
              <w:autoSpaceDN w:val="0"/>
              <w:adjustRightInd w:val="0"/>
              <w:spacing w:line="360" w:lineRule="auto"/>
              <w:jc w:val="both"/>
              <w:rPr>
                <w:rFonts w:ascii="Rockwell" w:hAnsi="Rockwell" w:cs="Rockwell"/>
                <w:bCs/>
              </w:rPr>
            </w:pPr>
            <w:r>
              <w:rPr>
                <w:rFonts w:ascii="Rockwell" w:eastAsiaTheme="minorHAnsi" w:hAnsi="Rockwell" w:cs="Rockwell"/>
                <w:bCs/>
                <w:lang w:val="en-GB"/>
              </w:rPr>
              <w:lastRenderedPageBreak/>
              <w:t>Mining (Award of Mineral Rights by Tender) Regulations, 2017.</w:t>
            </w:r>
          </w:p>
        </w:tc>
        <w:tc>
          <w:tcPr>
            <w:tcW w:w="2775" w:type="dxa"/>
          </w:tcPr>
          <w:p w:rsidR="00CE5995" w:rsidRDefault="00D37047">
            <w:pPr>
              <w:spacing w:line="360" w:lineRule="auto"/>
              <w:ind w:left="110" w:hangingChars="50" w:hanging="110"/>
              <w:jc w:val="both"/>
              <w:rPr>
                <w:rFonts w:ascii="Rockwell" w:hAnsi="Rockwell" w:cs="Rockwell"/>
                <w:bCs/>
              </w:rPr>
            </w:pPr>
            <w:bookmarkStart w:id="68" w:name="_Toc1994"/>
            <w:r>
              <w:rPr>
                <w:rFonts w:ascii="Rockwell" w:hAnsi="Rockwell" w:cs="Rockwell"/>
                <w:bCs/>
              </w:rPr>
              <w:lastRenderedPageBreak/>
              <w:t>Ministry of Petroleum &amp; Mining, National Mining Corporation, Minerals and Metals Commodity exchange</w:t>
            </w:r>
            <w:bookmarkEnd w:id="68"/>
          </w:p>
        </w:tc>
      </w:tr>
      <w:tr w:rsidR="00CE5995">
        <w:tc>
          <w:tcPr>
            <w:tcW w:w="2315" w:type="dxa"/>
            <w:vMerge/>
          </w:tcPr>
          <w:p w:rsidR="00CE5995" w:rsidRDefault="00CE5995">
            <w:pPr>
              <w:spacing w:line="360" w:lineRule="auto"/>
              <w:jc w:val="both"/>
              <w:rPr>
                <w:rFonts w:ascii="Rockwell" w:hAnsi="Rockwell" w:cs="Rockwell"/>
                <w:bCs/>
              </w:rPr>
            </w:pPr>
          </w:p>
        </w:tc>
        <w:tc>
          <w:tcPr>
            <w:tcW w:w="2775" w:type="dxa"/>
          </w:tcPr>
          <w:p w:rsidR="00CE5995" w:rsidRDefault="00D37047">
            <w:pPr>
              <w:spacing w:line="360" w:lineRule="auto"/>
              <w:jc w:val="both"/>
              <w:rPr>
                <w:rFonts w:ascii="Rockwell" w:hAnsi="Rockwell" w:cs="Rockwell"/>
                <w:bCs/>
              </w:rPr>
            </w:pPr>
            <w:bookmarkStart w:id="69" w:name="_Toc1593"/>
            <w:r>
              <w:rPr>
                <w:rFonts w:ascii="Rockwell" w:hAnsi="Rockwell" w:cs="Rockwell"/>
                <w:bCs/>
              </w:rPr>
              <w:t>OSHA 2007</w:t>
            </w:r>
            <w:bookmarkEnd w:id="69"/>
          </w:p>
        </w:tc>
        <w:tc>
          <w:tcPr>
            <w:tcW w:w="3105" w:type="dxa"/>
          </w:tcPr>
          <w:p w:rsidR="00CE5995" w:rsidRDefault="00D37047">
            <w:pPr>
              <w:spacing w:line="360" w:lineRule="auto"/>
              <w:jc w:val="both"/>
              <w:rPr>
                <w:rFonts w:ascii="Rockwell" w:hAnsi="Rockwell" w:cs="Rockwell"/>
                <w:bCs/>
              </w:rPr>
            </w:pPr>
            <w:bookmarkStart w:id="70" w:name="_Toc8232"/>
            <w:r>
              <w:rPr>
                <w:rFonts w:ascii="Rockwell" w:hAnsi="Rockwell" w:cs="Rockwell"/>
                <w:bCs/>
              </w:rPr>
              <w:t>Section 9, 11</w:t>
            </w:r>
            <w:r w:rsidR="00C569B7">
              <w:rPr>
                <w:rFonts w:ascii="Rockwell" w:hAnsi="Rockwell" w:cs="Rockwell"/>
                <w:bCs/>
              </w:rPr>
              <w:t>, 14, 16, 21 44, 49, 50, 52, 64,</w:t>
            </w:r>
            <w:r>
              <w:rPr>
                <w:rFonts w:ascii="Rockwell" w:hAnsi="Rockwell" w:cs="Rockwell"/>
                <w:bCs/>
              </w:rPr>
              <w:t xml:space="preserve"> 101</w:t>
            </w:r>
            <w:bookmarkEnd w:id="70"/>
          </w:p>
        </w:tc>
        <w:tc>
          <w:tcPr>
            <w:tcW w:w="2970" w:type="dxa"/>
          </w:tcPr>
          <w:p w:rsidR="00CE5995" w:rsidRDefault="00D37047">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Eyes protection rules L.N 44/1978</w:t>
            </w:r>
          </w:p>
          <w:p w:rsidR="00CE5995" w:rsidRDefault="00CE5995">
            <w:pPr>
              <w:widowControl/>
              <w:numPr>
                <w:ilvl w:val="255"/>
                <w:numId w:val="0"/>
              </w:numPr>
              <w:autoSpaceDE w:val="0"/>
              <w:autoSpaceDN w:val="0"/>
              <w:adjustRightInd w:val="0"/>
              <w:spacing w:line="360" w:lineRule="auto"/>
              <w:jc w:val="both"/>
              <w:rPr>
                <w:rFonts w:ascii="Rockwell" w:eastAsiaTheme="minorHAnsi" w:hAnsi="Rockwell" w:cs="Rockwell"/>
                <w:bCs/>
                <w:lang w:val="en-GB"/>
              </w:rPr>
            </w:pPr>
          </w:p>
          <w:p w:rsidR="00CE5995" w:rsidRDefault="00D37047">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Building operations and works of engineering construction rules L.N 40/1984</w:t>
            </w:r>
          </w:p>
          <w:p w:rsidR="00CE5995" w:rsidRDefault="00CE5995">
            <w:pPr>
              <w:widowControl/>
              <w:numPr>
                <w:ilvl w:val="255"/>
                <w:numId w:val="0"/>
              </w:numPr>
              <w:autoSpaceDE w:val="0"/>
              <w:autoSpaceDN w:val="0"/>
              <w:adjustRightInd w:val="0"/>
              <w:spacing w:line="360" w:lineRule="auto"/>
              <w:jc w:val="both"/>
              <w:rPr>
                <w:rFonts w:ascii="Rockwell" w:eastAsiaTheme="minorHAnsi" w:hAnsi="Rockwell" w:cs="Rockwell"/>
                <w:bCs/>
                <w:lang w:val="en-GB"/>
              </w:rPr>
            </w:pPr>
          </w:p>
          <w:p w:rsidR="00CE5995" w:rsidRDefault="00D37047">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Electric power special rules L.N 340/1979</w:t>
            </w:r>
          </w:p>
          <w:p w:rsidR="00CE5995" w:rsidRDefault="00CE5995">
            <w:pPr>
              <w:widowControl/>
              <w:numPr>
                <w:ilvl w:val="255"/>
                <w:numId w:val="0"/>
              </w:numPr>
              <w:autoSpaceDE w:val="0"/>
              <w:autoSpaceDN w:val="0"/>
              <w:adjustRightInd w:val="0"/>
              <w:spacing w:line="360" w:lineRule="auto"/>
              <w:jc w:val="both"/>
              <w:rPr>
                <w:rFonts w:ascii="Rockwell" w:eastAsiaTheme="minorHAnsi" w:hAnsi="Rockwell" w:cs="Rockwell"/>
                <w:bCs/>
                <w:lang w:val="en-GB"/>
              </w:rPr>
            </w:pPr>
          </w:p>
          <w:p w:rsidR="00CE5995" w:rsidRDefault="00D37047">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First aid rules- L.N 160/1979.</w:t>
            </w:r>
          </w:p>
          <w:p w:rsidR="00CE5995" w:rsidRDefault="00CE5995">
            <w:pPr>
              <w:widowControl/>
              <w:numPr>
                <w:ilvl w:val="255"/>
                <w:numId w:val="0"/>
              </w:numPr>
              <w:autoSpaceDE w:val="0"/>
              <w:autoSpaceDN w:val="0"/>
              <w:adjustRightInd w:val="0"/>
              <w:spacing w:line="360" w:lineRule="auto"/>
              <w:jc w:val="both"/>
              <w:rPr>
                <w:rFonts w:ascii="Rockwell" w:eastAsiaTheme="minorHAnsi" w:hAnsi="Rockwell" w:cs="Rockwell"/>
                <w:bCs/>
                <w:lang w:val="en-GB"/>
              </w:rPr>
            </w:pPr>
          </w:p>
          <w:p w:rsidR="00CE5995" w:rsidRDefault="00D37047">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Health and safety committee rules-L.N 31/2004</w:t>
            </w:r>
          </w:p>
          <w:p w:rsidR="00CE5995" w:rsidRDefault="00CE5995">
            <w:pPr>
              <w:widowControl/>
              <w:numPr>
                <w:ilvl w:val="255"/>
                <w:numId w:val="0"/>
              </w:numPr>
              <w:autoSpaceDE w:val="0"/>
              <w:autoSpaceDN w:val="0"/>
              <w:adjustRightInd w:val="0"/>
              <w:spacing w:line="360" w:lineRule="auto"/>
              <w:jc w:val="both"/>
              <w:rPr>
                <w:rFonts w:ascii="Rockwell" w:eastAsiaTheme="minorHAnsi" w:hAnsi="Rockwell" w:cs="Rockwell"/>
                <w:bCs/>
                <w:lang w:val="en-GB"/>
              </w:rPr>
            </w:pPr>
          </w:p>
          <w:p w:rsidR="00CE5995" w:rsidRDefault="00D37047">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Medical examination Rules L.N 24/2005</w:t>
            </w:r>
          </w:p>
          <w:p w:rsidR="00CE5995" w:rsidRDefault="00CE5995">
            <w:pPr>
              <w:widowControl/>
              <w:numPr>
                <w:ilvl w:val="255"/>
                <w:numId w:val="0"/>
              </w:numPr>
              <w:autoSpaceDE w:val="0"/>
              <w:autoSpaceDN w:val="0"/>
              <w:adjustRightInd w:val="0"/>
              <w:spacing w:line="360" w:lineRule="auto"/>
              <w:jc w:val="both"/>
              <w:rPr>
                <w:rFonts w:ascii="Rockwell" w:eastAsiaTheme="minorHAnsi" w:hAnsi="Rockwell" w:cs="Rockwell"/>
                <w:bCs/>
                <w:lang w:val="en-GB"/>
              </w:rPr>
            </w:pPr>
          </w:p>
          <w:p w:rsidR="00CE5995" w:rsidRDefault="00D37047">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Noise prevention and control Rules L.N 25/2005</w:t>
            </w:r>
          </w:p>
          <w:p w:rsidR="00CE5995" w:rsidRDefault="00CE5995">
            <w:pPr>
              <w:widowControl/>
              <w:numPr>
                <w:ilvl w:val="255"/>
                <w:numId w:val="0"/>
              </w:numPr>
              <w:autoSpaceDE w:val="0"/>
              <w:autoSpaceDN w:val="0"/>
              <w:adjustRightInd w:val="0"/>
              <w:spacing w:line="360" w:lineRule="auto"/>
              <w:jc w:val="both"/>
              <w:rPr>
                <w:rFonts w:ascii="Rockwell" w:eastAsiaTheme="minorHAnsi" w:hAnsi="Rockwell" w:cs="Rockwell"/>
                <w:bCs/>
                <w:lang w:val="en-GB"/>
              </w:rPr>
            </w:pPr>
          </w:p>
          <w:p w:rsidR="00CE5995" w:rsidRDefault="00D37047">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Fire Risk Reduction Rules L.N. 59/2007</w:t>
            </w:r>
          </w:p>
          <w:p w:rsidR="00CE5995" w:rsidRDefault="00CE5995">
            <w:pPr>
              <w:widowControl/>
              <w:numPr>
                <w:ilvl w:val="255"/>
                <w:numId w:val="0"/>
              </w:numPr>
              <w:autoSpaceDE w:val="0"/>
              <w:autoSpaceDN w:val="0"/>
              <w:adjustRightInd w:val="0"/>
              <w:spacing w:line="360" w:lineRule="auto"/>
              <w:jc w:val="both"/>
              <w:rPr>
                <w:rFonts w:ascii="Rockwell" w:eastAsiaTheme="minorHAnsi" w:hAnsi="Rockwell" w:cs="Rockwell"/>
                <w:bCs/>
                <w:lang w:val="en-GB"/>
              </w:rPr>
            </w:pPr>
          </w:p>
          <w:p w:rsidR="00CE5995" w:rsidRDefault="00D37047">
            <w:pPr>
              <w:widowControl/>
              <w:autoSpaceDE w:val="0"/>
              <w:autoSpaceDN w:val="0"/>
              <w:adjustRightInd w:val="0"/>
              <w:spacing w:line="360" w:lineRule="auto"/>
              <w:jc w:val="both"/>
              <w:rPr>
                <w:rFonts w:ascii="Rockwell" w:hAnsi="Rockwell" w:cs="Rockwell"/>
                <w:bCs/>
              </w:rPr>
            </w:pPr>
            <w:r>
              <w:rPr>
                <w:rFonts w:ascii="Rockwell" w:eastAsiaTheme="minorHAnsi" w:hAnsi="Rockwell" w:cs="Rockwell"/>
                <w:bCs/>
                <w:lang w:val="en-GB"/>
              </w:rPr>
              <w:t>Hazardous Substances Rules L.N. 60/2007</w:t>
            </w:r>
          </w:p>
        </w:tc>
        <w:tc>
          <w:tcPr>
            <w:tcW w:w="2775" w:type="dxa"/>
          </w:tcPr>
          <w:p w:rsidR="00CE5995" w:rsidRDefault="00D37047">
            <w:pPr>
              <w:spacing w:line="360" w:lineRule="auto"/>
              <w:jc w:val="both"/>
              <w:rPr>
                <w:rFonts w:ascii="Rockwell" w:hAnsi="Rockwell" w:cs="Rockwell"/>
                <w:bCs/>
              </w:rPr>
            </w:pPr>
            <w:bookmarkStart w:id="71" w:name="_Toc2707"/>
            <w:r>
              <w:rPr>
                <w:rFonts w:ascii="Rockwell" w:hAnsi="Rockwell" w:cs="Rockwell"/>
                <w:bCs/>
              </w:rPr>
              <w:lastRenderedPageBreak/>
              <w:t>Directorate of Occupational Safety and Health Services</w:t>
            </w:r>
            <w:bookmarkEnd w:id="71"/>
          </w:p>
        </w:tc>
      </w:tr>
      <w:tr w:rsidR="00CE5995">
        <w:tc>
          <w:tcPr>
            <w:tcW w:w="2315" w:type="dxa"/>
          </w:tcPr>
          <w:p w:rsidR="00CE5995" w:rsidRDefault="00CE5995">
            <w:pPr>
              <w:spacing w:line="360" w:lineRule="auto"/>
              <w:jc w:val="both"/>
              <w:rPr>
                <w:rFonts w:ascii="Rockwell" w:hAnsi="Rockwell" w:cs="Rockwell"/>
                <w:bCs/>
              </w:rPr>
            </w:pPr>
          </w:p>
        </w:tc>
        <w:tc>
          <w:tcPr>
            <w:tcW w:w="2775" w:type="dxa"/>
          </w:tcPr>
          <w:p w:rsidR="00CE5995" w:rsidRDefault="00D37047">
            <w:pPr>
              <w:spacing w:line="360" w:lineRule="auto"/>
              <w:jc w:val="both"/>
              <w:rPr>
                <w:rFonts w:ascii="Rockwell" w:hAnsi="Rockwell" w:cs="Rockwell"/>
                <w:bCs/>
              </w:rPr>
            </w:pPr>
            <w:bookmarkStart w:id="72" w:name="_Toc31450"/>
            <w:r>
              <w:rPr>
                <w:rFonts w:ascii="Rockwell" w:hAnsi="Rockwell" w:cs="Rockwell"/>
                <w:bCs/>
              </w:rPr>
              <w:t>Explosives Act, Cap 115</w:t>
            </w:r>
            <w:bookmarkEnd w:id="72"/>
          </w:p>
        </w:tc>
        <w:tc>
          <w:tcPr>
            <w:tcW w:w="3105" w:type="dxa"/>
          </w:tcPr>
          <w:p w:rsidR="00CE5995" w:rsidRDefault="00D37047">
            <w:pPr>
              <w:spacing w:line="360" w:lineRule="auto"/>
              <w:jc w:val="both"/>
              <w:rPr>
                <w:rFonts w:ascii="Rockwell" w:hAnsi="Rockwell" w:cs="Rockwell"/>
                <w:bCs/>
              </w:rPr>
            </w:pPr>
            <w:bookmarkStart w:id="73" w:name="_Toc21215"/>
            <w:r>
              <w:rPr>
                <w:rFonts w:ascii="Rockwell" w:hAnsi="Rockwell" w:cs="Rockwell"/>
                <w:bCs/>
              </w:rPr>
              <w:t>Section 18, 20, 21, 24, 28</w:t>
            </w:r>
            <w:bookmarkEnd w:id="73"/>
          </w:p>
        </w:tc>
        <w:tc>
          <w:tcPr>
            <w:tcW w:w="2970" w:type="dxa"/>
          </w:tcPr>
          <w:p w:rsidR="00CE5995" w:rsidRDefault="00D37047">
            <w:pPr>
              <w:spacing w:line="360" w:lineRule="auto"/>
              <w:jc w:val="both"/>
              <w:rPr>
                <w:rFonts w:ascii="Rockwell" w:hAnsi="Rockwell" w:cs="Rockwell"/>
                <w:bCs/>
              </w:rPr>
            </w:pPr>
            <w:bookmarkStart w:id="74" w:name="_Toc27120"/>
            <w:r>
              <w:rPr>
                <w:rFonts w:ascii="Rockwell" w:hAnsi="Rockwell" w:cs="Rockwell"/>
                <w:bCs/>
              </w:rPr>
              <w:t>Explosives (Blasting and explosives) rules</w:t>
            </w:r>
            <w:bookmarkEnd w:id="74"/>
          </w:p>
        </w:tc>
        <w:tc>
          <w:tcPr>
            <w:tcW w:w="2775" w:type="dxa"/>
          </w:tcPr>
          <w:p w:rsidR="00CE5995" w:rsidRDefault="00D37047">
            <w:pPr>
              <w:spacing w:line="360" w:lineRule="auto"/>
              <w:jc w:val="both"/>
              <w:rPr>
                <w:rFonts w:ascii="Rockwell" w:hAnsi="Rockwell" w:cs="Rockwell"/>
                <w:bCs/>
              </w:rPr>
            </w:pPr>
            <w:bookmarkStart w:id="75" w:name="_Toc14925"/>
            <w:r>
              <w:rPr>
                <w:rFonts w:ascii="Rockwell" w:hAnsi="Rockwell" w:cs="Rockwell"/>
                <w:bCs/>
              </w:rPr>
              <w:t>Ministry of Petroleum and Mining, Director of Mines</w:t>
            </w:r>
            <w:bookmarkEnd w:id="75"/>
            <w:r>
              <w:rPr>
                <w:rFonts w:ascii="Rockwell" w:hAnsi="Rockwell" w:cs="Rockwell"/>
                <w:bCs/>
              </w:rPr>
              <w:t xml:space="preserve"> </w:t>
            </w:r>
          </w:p>
        </w:tc>
      </w:tr>
      <w:tr w:rsidR="00CE5995">
        <w:tc>
          <w:tcPr>
            <w:tcW w:w="2315" w:type="dxa"/>
          </w:tcPr>
          <w:p w:rsidR="00CE5995" w:rsidRDefault="00CE5995">
            <w:pPr>
              <w:spacing w:line="360" w:lineRule="auto"/>
              <w:jc w:val="both"/>
              <w:rPr>
                <w:rFonts w:ascii="Rockwell" w:hAnsi="Rockwell" w:cs="Rockwell"/>
                <w:bCs/>
              </w:rPr>
            </w:pPr>
          </w:p>
        </w:tc>
        <w:tc>
          <w:tcPr>
            <w:tcW w:w="2775" w:type="dxa"/>
          </w:tcPr>
          <w:p w:rsidR="00CE5995" w:rsidRDefault="00D37047">
            <w:pPr>
              <w:spacing w:line="360" w:lineRule="auto"/>
              <w:jc w:val="both"/>
              <w:rPr>
                <w:rFonts w:ascii="Rockwell" w:hAnsi="Rockwell" w:cs="Rockwell"/>
                <w:bCs/>
              </w:rPr>
            </w:pPr>
            <w:bookmarkStart w:id="76" w:name="_Toc28599"/>
            <w:r>
              <w:rPr>
                <w:rFonts w:ascii="Rockwell" w:hAnsi="Rockwell" w:cs="Rockwell"/>
                <w:bCs/>
              </w:rPr>
              <w:t>Work Injury Benefits Act, 2007</w:t>
            </w:r>
            <w:bookmarkEnd w:id="76"/>
          </w:p>
        </w:tc>
        <w:tc>
          <w:tcPr>
            <w:tcW w:w="3105" w:type="dxa"/>
          </w:tcPr>
          <w:p w:rsidR="00CE5995" w:rsidRDefault="00D37047">
            <w:pPr>
              <w:spacing w:line="360" w:lineRule="auto"/>
              <w:jc w:val="both"/>
              <w:rPr>
                <w:rFonts w:ascii="Rockwell" w:hAnsi="Rockwell" w:cs="Rockwell"/>
                <w:bCs/>
              </w:rPr>
            </w:pPr>
            <w:bookmarkStart w:id="77" w:name="_Toc26217"/>
            <w:r>
              <w:rPr>
                <w:rFonts w:ascii="Rockwell" w:hAnsi="Rockwell" w:cs="Rockwell"/>
                <w:bCs/>
              </w:rPr>
              <w:t>Section 7, 10, 21, 45,</w:t>
            </w:r>
            <w:bookmarkEnd w:id="77"/>
            <w:r>
              <w:rPr>
                <w:rFonts w:ascii="Rockwell" w:hAnsi="Rockwell" w:cs="Rockwell"/>
                <w:bCs/>
              </w:rPr>
              <w:t xml:space="preserve"> </w:t>
            </w:r>
          </w:p>
        </w:tc>
        <w:tc>
          <w:tcPr>
            <w:tcW w:w="2970" w:type="dxa"/>
          </w:tcPr>
          <w:p w:rsidR="00CE5995" w:rsidRDefault="00D37047">
            <w:pPr>
              <w:spacing w:line="360" w:lineRule="auto"/>
              <w:jc w:val="both"/>
              <w:rPr>
                <w:rFonts w:ascii="Rockwell" w:hAnsi="Rockwell" w:cs="Rockwell"/>
                <w:bCs/>
              </w:rPr>
            </w:pPr>
            <w:bookmarkStart w:id="78" w:name="_Toc24115"/>
            <w:r>
              <w:rPr>
                <w:rFonts w:ascii="Rockwell" w:hAnsi="Rockwell" w:cs="Rockwell"/>
                <w:bCs/>
              </w:rPr>
              <w:t>Workmen compensation (Compulsory insurance) order</w:t>
            </w:r>
            <w:bookmarkEnd w:id="78"/>
          </w:p>
          <w:p w:rsidR="00CE5995" w:rsidRDefault="00CE5995">
            <w:pPr>
              <w:spacing w:line="360" w:lineRule="auto"/>
              <w:jc w:val="both"/>
              <w:rPr>
                <w:rFonts w:ascii="Rockwell" w:hAnsi="Rockwell" w:cs="Rockwell"/>
                <w:bCs/>
              </w:rPr>
            </w:pPr>
          </w:p>
          <w:p w:rsidR="00CE5995" w:rsidRDefault="00D37047">
            <w:pPr>
              <w:spacing w:line="360" w:lineRule="auto"/>
              <w:jc w:val="both"/>
              <w:rPr>
                <w:rFonts w:ascii="Rockwell" w:hAnsi="Rockwell" w:cs="Rockwell"/>
                <w:bCs/>
              </w:rPr>
            </w:pPr>
            <w:bookmarkStart w:id="79" w:name="_Toc16680"/>
            <w:proofErr w:type="spellStart"/>
            <w:r>
              <w:rPr>
                <w:rFonts w:ascii="Rockwell" w:hAnsi="Rockwell" w:cs="Rockwell"/>
                <w:bCs/>
              </w:rPr>
              <w:t>Workmens</w:t>
            </w:r>
            <w:proofErr w:type="spellEnd"/>
            <w:r>
              <w:rPr>
                <w:rFonts w:ascii="Rockwell" w:hAnsi="Rockwell" w:cs="Rockwell"/>
                <w:bCs/>
              </w:rPr>
              <w:t xml:space="preserve"> compensation regulations</w:t>
            </w:r>
            <w:bookmarkEnd w:id="79"/>
          </w:p>
        </w:tc>
        <w:tc>
          <w:tcPr>
            <w:tcW w:w="2775" w:type="dxa"/>
          </w:tcPr>
          <w:p w:rsidR="00CE5995" w:rsidRDefault="00D37047">
            <w:pPr>
              <w:spacing w:line="360" w:lineRule="auto"/>
              <w:jc w:val="both"/>
              <w:rPr>
                <w:rFonts w:ascii="Rockwell" w:hAnsi="Rockwell" w:cs="Rockwell"/>
                <w:bCs/>
              </w:rPr>
            </w:pPr>
            <w:bookmarkStart w:id="80" w:name="_Toc24444"/>
            <w:r>
              <w:rPr>
                <w:rFonts w:ascii="Rockwell" w:hAnsi="Rockwell" w:cs="Rockwell"/>
                <w:bCs/>
              </w:rPr>
              <w:t xml:space="preserve">Ministry for </w:t>
            </w:r>
            <w:proofErr w:type="spellStart"/>
            <w:r>
              <w:rPr>
                <w:rFonts w:ascii="Rockwell" w:hAnsi="Rockwell" w:cs="Rockwell"/>
                <w:bCs/>
              </w:rPr>
              <w:t>Labour</w:t>
            </w:r>
            <w:proofErr w:type="spellEnd"/>
            <w:r>
              <w:rPr>
                <w:rFonts w:ascii="Rockwell" w:hAnsi="Rockwell" w:cs="Rockwell"/>
                <w:bCs/>
              </w:rPr>
              <w:t xml:space="preserve"> and Social Services</w:t>
            </w:r>
            <w:bookmarkEnd w:id="80"/>
          </w:p>
        </w:tc>
      </w:tr>
      <w:tr w:rsidR="00CE5995">
        <w:tc>
          <w:tcPr>
            <w:tcW w:w="2315" w:type="dxa"/>
          </w:tcPr>
          <w:p w:rsidR="00CE5995" w:rsidRDefault="00CE5995">
            <w:pPr>
              <w:spacing w:line="360" w:lineRule="auto"/>
              <w:jc w:val="both"/>
              <w:rPr>
                <w:rFonts w:ascii="Rockwell" w:hAnsi="Rockwell" w:cs="Rockwell"/>
                <w:bCs/>
              </w:rPr>
            </w:pPr>
          </w:p>
        </w:tc>
        <w:tc>
          <w:tcPr>
            <w:tcW w:w="2775" w:type="dxa"/>
          </w:tcPr>
          <w:p w:rsidR="00CE5995" w:rsidRDefault="00D37047">
            <w:pPr>
              <w:spacing w:line="360" w:lineRule="auto"/>
              <w:jc w:val="both"/>
              <w:rPr>
                <w:rFonts w:ascii="Rockwell" w:hAnsi="Rockwell" w:cs="Rockwell"/>
                <w:bCs/>
              </w:rPr>
            </w:pPr>
            <w:bookmarkStart w:id="81" w:name="_Toc31827"/>
            <w:r>
              <w:rPr>
                <w:rFonts w:ascii="Rockwell" w:hAnsi="Rockwell" w:cs="Rockwell"/>
                <w:bCs/>
              </w:rPr>
              <w:t>Employment Act, 2007</w:t>
            </w:r>
            <w:bookmarkEnd w:id="81"/>
          </w:p>
        </w:tc>
        <w:tc>
          <w:tcPr>
            <w:tcW w:w="3105" w:type="dxa"/>
          </w:tcPr>
          <w:p w:rsidR="00CE5995" w:rsidRDefault="00D37047">
            <w:pPr>
              <w:spacing w:line="360" w:lineRule="auto"/>
              <w:jc w:val="both"/>
              <w:rPr>
                <w:rFonts w:ascii="Rockwell" w:hAnsi="Rockwell" w:cs="Rockwell"/>
                <w:bCs/>
              </w:rPr>
            </w:pPr>
            <w:bookmarkStart w:id="82" w:name="_Toc5639"/>
            <w:r>
              <w:rPr>
                <w:rFonts w:ascii="Rockwell" w:hAnsi="Rockwell" w:cs="Rockwell"/>
                <w:bCs/>
              </w:rPr>
              <w:t>Section 4, 6, 17, 26, 27, 29,  30, 31, 32, 33, 34, 35</w:t>
            </w:r>
            <w:bookmarkEnd w:id="82"/>
            <w:r>
              <w:rPr>
                <w:rFonts w:ascii="Rockwell" w:hAnsi="Rockwell" w:cs="Rockwell"/>
                <w:bCs/>
              </w:rPr>
              <w:t xml:space="preserve"> </w:t>
            </w:r>
          </w:p>
        </w:tc>
        <w:tc>
          <w:tcPr>
            <w:tcW w:w="2970" w:type="dxa"/>
          </w:tcPr>
          <w:p w:rsidR="00CE5995" w:rsidRDefault="00D37047">
            <w:pPr>
              <w:spacing w:line="360" w:lineRule="auto"/>
              <w:jc w:val="both"/>
              <w:rPr>
                <w:rFonts w:ascii="Rockwell" w:hAnsi="Rockwell" w:cs="Rockwell"/>
                <w:bCs/>
              </w:rPr>
            </w:pPr>
            <w:bookmarkStart w:id="83" w:name="_Toc12592"/>
            <w:r>
              <w:rPr>
                <w:rFonts w:ascii="Rockwell" w:hAnsi="Rockwell" w:cs="Rockwell"/>
                <w:bCs/>
              </w:rPr>
              <w:t>Employment general rules of 2014</w:t>
            </w:r>
            <w:bookmarkEnd w:id="83"/>
          </w:p>
        </w:tc>
        <w:tc>
          <w:tcPr>
            <w:tcW w:w="2775" w:type="dxa"/>
          </w:tcPr>
          <w:p w:rsidR="00CE5995" w:rsidRDefault="00D37047">
            <w:pPr>
              <w:spacing w:line="360" w:lineRule="auto"/>
              <w:jc w:val="both"/>
              <w:rPr>
                <w:rFonts w:ascii="Rockwell" w:hAnsi="Rockwell" w:cs="Rockwell"/>
                <w:bCs/>
              </w:rPr>
            </w:pPr>
            <w:bookmarkStart w:id="84" w:name="_Toc15385"/>
            <w:r>
              <w:rPr>
                <w:rFonts w:ascii="Rockwell" w:hAnsi="Rockwell" w:cs="Rockwell"/>
                <w:bCs/>
              </w:rPr>
              <w:t xml:space="preserve">Ministry of </w:t>
            </w:r>
            <w:proofErr w:type="spellStart"/>
            <w:r>
              <w:rPr>
                <w:rFonts w:ascii="Rockwell" w:hAnsi="Rockwell" w:cs="Rockwell"/>
                <w:bCs/>
              </w:rPr>
              <w:t>Labour</w:t>
            </w:r>
            <w:proofErr w:type="spellEnd"/>
            <w:r>
              <w:rPr>
                <w:rFonts w:ascii="Rockwell" w:hAnsi="Rockwell" w:cs="Rockwell"/>
                <w:bCs/>
              </w:rPr>
              <w:t xml:space="preserve">, Employment and </w:t>
            </w:r>
            <w:proofErr w:type="spellStart"/>
            <w:r>
              <w:rPr>
                <w:rFonts w:ascii="Rockwell" w:hAnsi="Rockwell" w:cs="Rockwell"/>
                <w:bCs/>
              </w:rPr>
              <w:t>Labour</w:t>
            </w:r>
            <w:proofErr w:type="spellEnd"/>
            <w:r>
              <w:rPr>
                <w:rFonts w:ascii="Rockwell" w:hAnsi="Rockwell" w:cs="Rockwell"/>
                <w:bCs/>
              </w:rPr>
              <w:t xml:space="preserve"> relations Court</w:t>
            </w:r>
            <w:bookmarkEnd w:id="84"/>
          </w:p>
        </w:tc>
      </w:tr>
      <w:tr w:rsidR="00CE5995">
        <w:tc>
          <w:tcPr>
            <w:tcW w:w="2315" w:type="dxa"/>
          </w:tcPr>
          <w:p w:rsidR="00CE5995" w:rsidRDefault="00CE5995">
            <w:pPr>
              <w:spacing w:line="360" w:lineRule="auto"/>
              <w:jc w:val="both"/>
              <w:rPr>
                <w:rFonts w:ascii="Rockwell" w:hAnsi="Rockwell" w:cs="Rockwell"/>
                <w:bCs/>
              </w:rPr>
            </w:pPr>
          </w:p>
        </w:tc>
        <w:tc>
          <w:tcPr>
            <w:tcW w:w="2775" w:type="dxa"/>
          </w:tcPr>
          <w:p w:rsidR="00CE5995" w:rsidRPr="00BC6616" w:rsidRDefault="00D37047">
            <w:pPr>
              <w:spacing w:line="360" w:lineRule="auto"/>
              <w:jc w:val="both"/>
              <w:rPr>
                <w:rFonts w:ascii="Rockwell" w:hAnsi="Rockwell" w:cs="Rockwell"/>
                <w:bCs/>
              </w:rPr>
            </w:pPr>
            <w:bookmarkStart w:id="85" w:name="_Toc1696"/>
            <w:r w:rsidRPr="00BC6616">
              <w:rPr>
                <w:rFonts w:ascii="Rockwell" w:hAnsi="Rockwell" w:cs="Rockwell"/>
                <w:bCs/>
              </w:rPr>
              <w:t>Land Act, 2012</w:t>
            </w:r>
            <w:bookmarkEnd w:id="85"/>
          </w:p>
        </w:tc>
        <w:tc>
          <w:tcPr>
            <w:tcW w:w="3105" w:type="dxa"/>
          </w:tcPr>
          <w:p w:rsidR="00CE5995" w:rsidRPr="00BC6616" w:rsidRDefault="00D37047">
            <w:pPr>
              <w:spacing w:line="360" w:lineRule="auto"/>
              <w:jc w:val="both"/>
              <w:rPr>
                <w:rFonts w:ascii="Rockwell" w:hAnsi="Rockwell" w:cs="Rockwell"/>
                <w:bCs/>
              </w:rPr>
            </w:pPr>
            <w:bookmarkStart w:id="86" w:name="_Toc9209"/>
            <w:r w:rsidRPr="00BC6616">
              <w:rPr>
                <w:rFonts w:ascii="Rockwell" w:hAnsi="Rockwell" w:cs="Rockwell"/>
                <w:bCs/>
              </w:rPr>
              <w:t>Section 11, 19,</w:t>
            </w:r>
            <w:bookmarkEnd w:id="86"/>
            <w:r w:rsidRPr="00BC6616">
              <w:rPr>
                <w:rFonts w:ascii="Rockwell" w:hAnsi="Rockwell" w:cs="Rockwell"/>
                <w:bCs/>
              </w:rPr>
              <w:t xml:space="preserve"> </w:t>
            </w:r>
          </w:p>
        </w:tc>
        <w:tc>
          <w:tcPr>
            <w:tcW w:w="2970" w:type="dxa"/>
          </w:tcPr>
          <w:p w:rsidR="00CE5995" w:rsidRPr="001A1FC0" w:rsidRDefault="00CE5995">
            <w:pPr>
              <w:spacing w:line="360" w:lineRule="auto"/>
              <w:jc w:val="both"/>
              <w:rPr>
                <w:rFonts w:ascii="Rockwell" w:hAnsi="Rockwell" w:cs="Rockwell"/>
                <w:bCs/>
                <w:color w:val="FF0000"/>
              </w:rPr>
            </w:pPr>
          </w:p>
        </w:tc>
        <w:tc>
          <w:tcPr>
            <w:tcW w:w="2775" w:type="dxa"/>
          </w:tcPr>
          <w:p w:rsidR="00CE5995" w:rsidRDefault="00D37047">
            <w:pPr>
              <w:spacing w:line="360" w:lineRule="auto"/>
              <w:jc w:val="both"/>
              <w:rPr>
                <w:rFonts w:ascii="Rockwell" w:hAnsi="Rockwell" w:cs="Rockwell"/>
                <w:bCs/>
              </w:rPr>
            </w:pPr>
            <w:bookmarkStart w:id="87" w:name="_Toc22797"/>
            <w:r>
              <w:rPr>
                <w:rFonts w:ascii="Rockwell" w:hAnsi="Rockwell" w:cs="Rockwell"/>
                <w:bCs/>
              </w:rPr>
              <w:t>NLC</w:t>
            </w:r>
            <w:bookmarkEnd w:id="87"/>
          </w:p>
        </w:tc>
      </w:tr>
      <w:tr w:rsidR="001A1FC0">
        <w:tc>
          <w:tcPr>
            <w:tcW w:w="2315" w:type="dxa"/>
          </w:tcPr>
          <w:p w:rsidR="001A1FC0" w:rsidRDefault="001A1FC0">
            <w:pPr>
              <w:spacing w:line="360" w:lineRule="auto"/>
              <w:jc w:val="both"/>
              <w:rPr>
                <w:rFonts w:ascii="Rockwell" w:hAnsi="Rockwell" w:cs="Rockwell"/>
                <w:bCs/>
              </w:rPr>
            </w:pPr>
          </w:p>
        </w:tc>
        <w:tc>
          <w:tcPr>
            <w:tcW w:w="2775" w:type="dxa"/>
          </w:tcPr>
          <w:p w:rsidR="001A1FC0" w:rsidRPr="001A1FC0" w:rsidRDefault="001A1FC0" w:rsidP="001A1FC0">
            <w:pPr>
              <w:spacing w:line="360" w:lineRule="auto"/>
              <w:jc w:val="both"/>
              <w:rPr>
                <w:rFonts w:ascii="Rockwell" w:hAnsi="Rockwell" w:cs="Rockwell"/>
                <w:bCs/>
              </w:rPr>
            </w:pPr>
            <w:r w:rsidRPr="001A1FC0">
              <w:rPr>
                <w:rFonts w:ascii="Rockwell" w:hAnsi="Rockwell" w:cs="Rockwell"/>
                <w:bCs/>
              </w:rPr>
              <w:t xml:space="preserve">Environment and Land </w:t>
            </w:r>
            <w:r w:rsidRPr="001A1FC0">
              <w:rPr>
                <w:rFonts w:ascii="Rockwell" w:hAnsi="Rockwell" w:cs="Rockwell"/>
                <w:bCs/>
              </w:rPr>
              <w:lastRenderedPageBreak/>
              <w:t>Court Act, No. 19 of 2011</w:t>
            </w:r>
          </w:p>
        </w:tc>
        <w:tc>
          <w:tcPr>
            <w:tcW w:w="3105" w:type="dxa"/>
          </w:tcPr>
          <w:p w:rsidR="001A1FC0" w:rsidRPr="001A1FC0" w:rsidRDefault="001A1FC0">
            <w:pPr>
              <w:spacing w:line="360" w:lineRule="auto"/>
              <w:jc w:val="both"/>
              <w:rPr>
                <w:rFonts w:ascii="Rockwell" w:hAnsi="Rockwell" w:cs="Rockwell"/>
                <w:bCs/>
              </w:rPr>
            </w:pPr>
            <w:r w:rsidRPr="001A1FC0">
              <w:rPr>
                <w:rFonts w:ascii="Rockwell" w:hAnsi="Rockwell" w:cs="Rockwell"/>
                <w:bCs/>
              </w:rPr>
              <w:lastRenderedPageBreak/>
              <w:t>Section 4, 13, 14, 16</w:t>
            </w:r>
          </w:p>
        </w:tc>
        <w:tc>
          <w:tcPr>
            <w:tcW w:w="2970" w:type="dxa"/>
          </w:tcPr>
          <w:p w:rsidR="001A1FC0" w:rsidRPr="001A1FC0" w:rsidRDefault="001A1FC0">
            <w:pPr>
              <w:spacing w:line="360" w:lineRule="auto"/>
              <w:jc w:val="both"/>
              <w:rPr>
                <w:rFonts w:ascii="Rockwell" w:hAnsi="Rockwell" w:cs="Rockwell"/>
                <w:bCs/>
                <w:color w:val="FF0000"/>
              </w:rPr>
            </w:pPr>
          </w:p>
        </w:tc>
        <w:tc>
          <w:tcPr>
            <w:tcW w:w="2775" w:type="dxa"/>
          </w:tcPr>
          <w:p w:rsidR="001A1FC0" w:rsidRDefault="001A1FC0">
            <w:pPr>
              <w:spacing w:line="360" w:lineRule="auto"/>
              <w:jc w:val="both"/>
              <w:rPr>
                <w:rFonts w:ascii="Rockwell" w:hAnsi="Rockwell" w:cs="Rockwell"/>
                <w:bCs/>
              </w:rPr>
            </w:pPr>
            <w:r>
              <w:rPr>
                <w:rFonts w:ascii="Rockwell" w:hAnsi="Rockwell" w:cs="Rockwell"/>
                <w:bCs/>
              </w:rPr>
              <w:t>ELC</w:t>
            </w:r>
          </w:p>
        </w:tc>
      </w:tr>
      <w:tr w:rsidR="00CE5995">
        <w:tc>
          <w:tcPr>
            <w:tcW w:w="2315" w:type="dxa"/>
          </w:tcPr>
          <w:p w:rsidR="00CE5995" w:rsidRDefault="00CE5995">
            <w:pPr>
              <w:spacing w:line="360" w:lineRule="auto"/>
              <w:jc w:val="both"/>
              <w:rPr>
                <w:rFonts w:ascii="Rockwell" w:hAnsi="Rockwell" w:cs="Rockwell"/>
                <w:bCs/>
              </w:rPr>
            </w:pPr>
          </w:p>
        </w:tc>
        <w:tc>
          <w:tcPr>
            <w:tcW w:w="2775" w:type="dxa"/>
          </w:tcPr>
          <w:p w:rsidR="00CE5995" w:rsidRDefault="00D37047">
            <w:pPr>
              <w:spacing w:line="360" w:lineRule="auto"/>
              <w:jc w:val="both"/>
              <w:rPr>
                <w:rFonts w:ascii="Rockwell" w:hAnsi="Rockwell" w:cs="Rockwell"/>
                <w:bCs/>
              </w:rPr>
            </w:pPr>
            <w:bookmarkStart w:id="88" w:name="_Toc18085"/>
            <w:r>
              <w:rPr>
                <w:rFonts w:ascii="Rockwell" w:hAnsi="Rockwell" w:cs="Rockwell"/>
                <w:bCs/>
              </w:rPr>
              <w:t>Community Land Act</w:t>
            </w:r>
            <w:bookmarkEnd w:id="88"/>
          </w:p>
        </w:tc>
        <w:tc>
          <w:tcPr>
            <w:tcW w:w="3105" w:type="dxa"/>
          </w:tcPr>
          <w:p w:rsidR="00CE5995" w:rsidRDefault="00D37047">
            <w:pPr>
              <w:spacing w:line="360" w:lineRule="auto"/>
              <w:jc w:val="both"/>
              <w:rPr>
                <w:rFonts w:ascii="Rockwell" w:hAnsi="Rockwell" w:cs="Rockwell"/>
                <w:bCs/>
              </w:rPr>
            </w:pPr>
            <w:bookmarkStart w:id="89" w:name="_Toc31447"/>
            <w:r>
              <w:rPr>
                <w:rFonts w:ascii="Rockwell" w:hAnsi="Rockwell" w:cs="Rockwell"/>
                <w:bCs/>
              </w:rPr>
              <w:t>Section 5, 6, 8, 27, 34, 35, 36</w:t>
            </w:r>
            <w:bookmarkEnd w:id="89"/>
          </w:p>
        </w:tc>
        <w:tc>
          <w:tcPr>
            <w:tcW w:w="2970" w:type="dxa"/>
          </w:tcPr>
          <w:p w:rsidR="00CE5995" w:rsidRDefault="00D37047">
            <w:pPr>
              <w:spacing w:line="360" w:lineRule="auto"/>
              <w:jc w:val="both"/>
              <w:rPr>
                <w:rFonts w:ascii="Rockwell" w:hAnsi="Rockwell" w:cs="Rockwell"/>
                <w:bCs/>
              </w:rPr>
            </w:pPr>
            <w:bookmarkStart w:id="90" w:name="_Toc15619"/>
            <w:r>
              <w:rPr>
                <w:rFonts w:ascii="Rockwell" w:hAnsi="Rockwell" w:cs="Rockwell"/>
                <w:bCs/>
              </w:rPr>
              <w:t>Community land Regulations, 2017</w:t>
            </w:r>
            <w:bookmarkEnd w:id="90"/>
          </w:p>
        </w:tc>
        <w:tc>
          <w:tcPr>
            <w:tcW w:w="2775" w:type="dxa"/>
          </w:tcPr>
          <w:p w:rsidR="00CE5995" w:rsidRDefault="00D37047">
            <w:pPr>
              <w:spacing w:line="360" w:lineRule="auto"/>
              <w:jc w:val="both"/>
              <w:rPr>
                <w:rFonts w:ascii="Rockwell" w:hAnsi="Rockwell" w:cs="Rockwell"/>
                <w:bCs/>
              </w:rPr>
            </w:pPr>
            <w:bookmarkStart w:id="91" w:name="_Toc6439"/>
            <w:r>
              <w:rPr>
                <w:rFonts w:ascii="Rockwell" w:hAnsi="Rockwell" w:cs="Rockwell"/>
                <w:bCs/>
              </w:rPr>
              <w:t>Ministry of Lands, NLC, County Government, ELC</w:t>
            </w:r>
            <w:bookmarkEnd w:id="91"/>
          </w:p>
        </w:tc>
      </w:tr>
      <w:tr w:rsidR="00CE5995">
        <w:tc>
          <w:tcPr>
            <w:tcW w:w="2315" w:type="dxa"/>
          </w:tcPr>
          <w:p w:rsidR="00CE5995" w:rsidRDefault="00CE5995">
            <w:pPr>
              <w:spacing w:line="360" w:lineRule="auto"/>
              <w:jc w:val="both"/>
              <w:rPr>
                <w:rFonts w:ascii="Rockwell" w:hAnsi="Rockwell" w:cs="Rockwell"/>
                <w:bCs/>
              </w:rPr>
            </w:pPr>
          </w:p>
        </w:tc>
        <w:tc>
          <w:tcPr>
            <w:tcW w:w="2775" w:type="dxa"/>
          </w:tcPr>
          <w:p w:rsidR="00CE5995" w:rsidRDefault="00D37047">
            <w:pPr>
              <w:spacing w:line="360" w:lineRule="auto"/>
              <w:jc w:val="both"/>
              <w:rPr>
                <w:rFonts w:ascii="Rockwell" w:hAnsi="Rockwell" w:cs="Rockwell"/>
                <w:bCs/>
              </w:rPr>
            </w:pPr>
            <w:bookmarkStart w:id="92" w:name="_Toc8181"/>
            <w:r>
              <w:rPr>
                <w:rFonts w:ascii="Rockwell" w:hAnsi="Rockwell" w:cs="Rockwell"/>
                <w:bCs/>
              </w:rPr>
              <w:t>Water Act, 2016</w:t>
            </w:r>
            <w:bookmarkEnd w:id="92"/>
          </w:p>
        </w:tc>
        <w:tc>
          <w:tcPr>
            <w:tcW w:w="3105" w:type="dxa"/>
          </w:tcPr>
          <w:p w:rsidR="00CE5995" w:rsidRDefault="00D37047">
            <w:pPr>
              <w:spacing w:line="360" w:lineRule="auto"/>
              <w:jc w:val="both"/>
              <w:rPr>
                <w:rFonts w:ascii="Rockwell" w:hAnsi="Rockwell" w:cs="Rockwell"/>
                <w:bCs/>
              </w:rPr>
            </w:pPr>
            <w:bookmarkStart w:id="93" w:name="_Toc28748"/>
            <w:r>
              <w:rPr>
                <w:rFonts w:ascii="Rockwell" w:hAnsi="Rockwell" w:cs="Rockwell"/>
                <w:bCs/>
              </w:rPr>
              <w:t>Section 22, 23, 36</w:t>
            </w:r>
            <w:bookmarkEnd w:id="93"/>
          </w:p>
        </w:tc>
        <w:tc>
          <w:tcPr>
            <w:tcW w:w="2970" w:type="dxa"/>
          </w:tcPr>
          <w:p w:rsidR="00CE5995" w:rsidRDefault="00D37047">
            <w:pPr>
              <w:spacing w:line="360" w:lineRule="auto"/>
              <w:jc w:val="both"/>
              <w:rPr>
                <w:rFonts w:ascii="Rockwell" w:hAnsi="Rockwell" w:cs="Rockwell"/>
                <w:bCs/>
              </w:rPr>
            </w:pPr>
            <w:bookmarkStart w:id="94" w:name="_Toc28088"/>
            <w:r>
              <w:rPr>
                <w:rFonts w:ascii="Rockwell" w:hAnsi="Rockwell" w:cs="Rockwell"/>
                <w:bCs/>
              </w:rPr>
              <w:t>Water Resources Management Rules, 2007</w:t>
            </w:r>
            <w:bookmarkEnd w:id="94"/>
          </w:p>
        </w:tc>
        <w:tc>
          <w:tcPr>
            <w:tcW w:w="2775" w:type="dxa"/>
          </w:tcPr>
          <w:p w:rsidR="00CE5995" w:rsidRDefault="00D37047">
            <w:pPr>
              <w:spacing w:line="360" w:lineRule="auto"/>
              <w:jc w:val="both"/>
              <w:rPr>
                <w:rFonts w:ascii="Rockwell" w:hAnsi="Rockwell" w:cs="Rockwell"/>
                <w:bCs/>
              </w:rPr>
            </w:pPr>
            <w:bookmarkStart w:id="95" w:name="_Toc5134"/>
            <w:r>
              <w:rPr>
                <w:rFonts w:ascii="Rockwell" w:hAnsi="Rockwell" w:cs="Rockwell"/>
                <w:bCs/>
              </w:rPr>
              <w:t>WRA, Water Appeals Tribunal, ELC, Basin Water Resources Committee, Water Resource Users Associations</w:t>
            </w:r>
            <w:bookmarkEnd w:id="95"/>
            <w:r>
              <w:rPr>
                <w:rFonts w:ascii="Rockwell" w:hAnsi="Rockwell" w:cs="Rockwell"/>
                <w:bCs/>
              </w:rPr>
              <w:t xml:space="preserve">, </w:t>
            </w:r>
          </w:p>
        </w:tc>
      </w:tr>
      <w:tr w:rsidR="00CE5995">
        <w:tc>
          <w:tcPr>
            <w:tcW w:w="2315" w:type="dxa"/>
          </w:tcPr>
          <w:p w:rsidR="00CE5995" w:rsidRDefault="00CE5995">
            <w:pPr>
              <w:spacing w:line="360" w:lineRule="auto"/>
              <w:jc w:val="both"/>
              <w:rPr>
                <w:rFonts w:ascii="Rockwell" w:hAnsi="Rockwell" w:cs="Rockwell"/>
                <w:bCs/>
              </w:rPr>
            </w:pPr>
          </w:p>
        </w:tc>
        <w:tc>
          <w:tcPr>
            <w:tcW w:w="2775" w:type="dxa"/>
          </w:tcPr>
          <w:p w:rsidR="00CE5995" w:rsidRPr="00BC6616" w:rsidRDefault="00D37047">
            <w:pPr>
              <w:rPr>
                <w:rFonts w:ascii="Rockwell" w:hAnsi="Rockwell" w:cs="Rockwell"/>
                <w:bCs/>
              </w:rPr>
            </w:pPr>
            <w:bookmarkStart w:id="96" w:name="_Toc12586"/>
            <w:r w:rsidRPr="00BC6616">
              <w:rPr>
                <w:rFonts w:ascii="Rockwell" w:hAnsi="Rockwell" w:cs="Rockwell"/>
                <w:bCs/>
              </w:rPr>
              <w:t>Physical and Land Use Planning Act No. 3 of 2019</w:t>
            </w:r>
            <w:bookmarkEnd w:id="96"/>
          </w:p>
          <w:p w:rsidR="00CE5995" w:rsidRPr="00BC6616" w:rsidRDefault="00CE5995">
            <w:pPr>
              <w:spacing w:line="360" w:lineRule="auto"/>
              <w:jc w:val="both"/>
              <w:rPr>
                <w:rFonts w:ascii="Rockwell" w:hAnsi="Rockwell" w:cs="Rockwell"/>
                <w:bCs/>
              </w:rPr>
            </w:pPr>
          </w:p>
        </w:tc>
        <w:tc>
          <w:tcPr>
            <w:tcW w:w="3105" w:type="dxa"/>
          </w:tcPr>
          <w:p w:rsidR="00CE5995" w:rsidRPr="00BC6616" w:rsidRDefault="00D37047">
            <w:pPr>
              <w:spacing w:line="360" w:lineRule="auto"/>
              <w:jc w:val="both"/>
              <w:rPr>
                <w:rFonts w:ascii="Rockwell" w:hAnsi="Rockwell" w:cs="Rockwell"/>
                <w:bCs/>
              </w:rPr>
            </w:pPr>
            <w:r w:rsidRPr="00BC6616">
              <w:rPr>
                <w:rFonts w:ascii="Rockwell" w:hAnsi="Rockwell" w:cs="Rockwell"/>
                <w:bCs/>
              </w:rPr>
              <w:t>Section 14, 18</w:t>
            </w:r>
          </w:p>
        </w:tc>
        <w:tc>
          <w:tcPr>
            <w:tcW w:w="2970" w:type="dxa"/>
          </w:tcPr>
          <w:p w:rsidR="00CE5995" w:rsidRPr="001A1FC0" w:rsidRDefault="00CE5995">
            <w:pPr>
              <w:spacing w:line="360" w:lineRule="auto"/>
              <w:jc w:val="both"/>
              <w:rPr>
                <w:rFonts w:ascii="Rockwell" w:hAnsi="Rockwell" w:cs="Rockwell"/>
                <w:bCs/>
                <w:color w:val="FF0000"/>
              </w:rPr>
            </w:pPr>
          </w:p>
        </w:tc>
        <w:tc>
          <w:tcPr>
            <w:tcW w:w="2775" w:type="dxa"/>
          </w:tcPr>
          <w:p w:rsidR="00CE5995" w:rsidRDefault="00D37047">
            <w:pPr>
              <w:spacing w:line="360" w:lineRule="auto"/>
              <w:jc w:val="both"/>
              <w:rPr>
                <w:rFonts w:ascii="Rockwell" w:hAnsi="Rockwell" w:cs="Rockwell"/>
                <w:bCs/>
              </w:rPr>
            </w:pPr>
            <w:r>
              <w:rPr>
                <w:rFonts w:ascii="Rockwell" w:hAnsi="Rockwell" w:cs="Rockwell"/>
                <w:bCs/>
              </w:rPr>
              <w:t>County physical and land use planning consultative forum</w:t>
            </w:r>
          </w:p>
        </w:tc>
      </w:tr>
      <w:tr w:rsidR="00CE5995">
        <w:tc>
          <w:tcPr>
            <w:tcW w:w="2315" w:type="dxa"/>
          </w:tcPr>
          <w:p w:rsidR="00CE5995" w:rsidRDefault="00CE5995">
            <w:pPr>
              <w:spacing w:line="360" w:lineRule="auto"/>
              <w:jc w:val="both"/>
              <w:rPr>
                <w:rFonts w:ascii="Rockwell" w:hAnsi="Rockwell" w:cs="Rockwell"/>
                <w:bCs/>
              </w:rPr>
            </w:pPr>
          </w:p>
        </w:tc>
        <w:tc>
          <w:tcPr>
            <w:tcW w:w="2775" w:type="dxa"/>
          </w:tcPr>
          <w:p w:rsidR="00CE5995" w:rsidRDefault="00D37047">
            <w:pPr>
              <w:spacing w:line="360" w:lineRule="auto"/>
              <w:jc w:val="both"/>
              <w:rPr>
                <w:rFonts w:ascii="Rockwell" w:hAnsi="Rockwell" w:cs="Rockwell"/>
                <w:bCs/>
              </w:rPr>
            </w:pPr>
            <w:r>
              <w:rPr>
                <w:rFonts w:ascii="Rockwell" w:hAnsi="Rockwell" w:cs="Rockwell"/>
                <w:bCs/>
              </w:rPr>
              <w:t>Forest Conservation &amp; Management Act, 2016</w:t>
            </w:r>
          </w:p>
        </w:tc>
        <w:tc>
          <w:tcPr>
            <w:tcW w:w="3105" w:type="dxa"/>
          </w:tcPr>
          <w:p w:rsidR="00CE5995" w:rsidRDefault="00D37047">
            <w:pPr>
              <w:spacing w:line="360" w:lineRule="auto"/>
              <w:jc w:val="both"/>
              <w:rPr>
                <w:rFonts w:ascii="Rockwell" w:hAnsi="Rockwell" w:cs="Rockwell"/>
                <w:bCs/>
              </w:rPr>
            </w:pPr>
            <w:r>
              <w:rPr>
                <w:rFonts w:ascii="Rockwell" w:hAnsi="Rockwell" w:cs="Rockwell"/>
                <w:bCs/>
              </w:rPr>
              <w:t xml:space="preserve">Section 8, 20, 21, 30 </w:t>
            </w:r>
          </w:p>
        </w:tc>
        <w:tc>
          <w:tcPr>
            <w:tcW w:w="2970" w:type="dxa"/>
          </w:tcPr>
          <w:p w:rsidR="00CE5995" w:rsidRDefault="00D37047">
            <w:pPr>
              <w:spacing w:line="360" w:lineRule="auto"/>
              <w:jc w:val="both"/>
              <w:rPr>
                <w:rFonts w:ascii="Rockwell" w:hAnsi="Rockwell" w:cs="Rockwell"/>
                <w:bCs/>
              </w:rPr>
            </w:pPr>
            <w:r>
              <w:rPr>
                <w:rFonts w:ascii="Rockwell" w:hAnsi="Rockwell" w:cs="Rockwell"/>
                <w:bCs/>
              </w:rPr>
              <w:t>Forest</w:t>
            </w:r>
            <w:r w:rsidR="001A1FC0">
              <w:rPr>
                <w:rFonts w:ascii="Rockwell" w:hAnsi="Rockwell" w:cs="Rockwell"/>
                <w:bCs/>
              </w:rPr>
              <w:t xml:space="preserve"> </w:t>
            </w:r>
            <w:r>
              <w:rPr>
                <w:rFonts w:ascii="Rockwell" w:hAnsi="Rockwell" w:cs="Rockwell"/>
                <w:bCs/>
              </w:rPr>
              <w:t>(Participation in Sustainable Forest Management) Rules, 2009</w:t>
            </w:r>
          </w:p>
        </w:tc>
        <w:tc>
          <w:tcPr>
            <w:tcW w:w="2775" w:type="dxa"/>
          </w:tcPr>
          <w:p w:rsidR="00CE5995" w:rsidRDefault="00D37047">
            <w:pPr>
              <w:spacing w:line="360" w:lineRule="auto"/>
              <w:jc w:val="both"/>
              <w:rPr>
                <w:rFonts w:ascii="Rockwell" w:hAnsi="Rockwell" w:cs="Rockwell"/>
                <w:bCs/>
              </w:rPr>
            </w:pPr>
            <w:r>
              <w:rPr>
                <w:rFonts w:ascii="Rockwell" w:hAnsi="Rockwell" w:cs="Rockwell"/>
                <w:bCs/>
              </w:rPr>
              <w:t>KFS, County governments</w:t>
            </w:r>
          </w:p>
        </w:tc>
      </w:tr>
      <w:tr w:rsidR="00CE5995">
        <w:tc>
          <w:tcPr>
            <w:tcW w:w="2315" w:type="dxa"/>
            <w:vMerge w:val="restart"/>
          </w:tcPr>
          <w:p w:rsidR="00CE5995" w:rsidRDefault="00CE5995">
            <w:pPr>
              <w:spacing w:line="360" w:lineRule="auto"/>
              <w:jc w:val="both"/>
              <w:rPr>
                <w:rFonts w:ascii="Rockwell" w:hAnsi="Rockwell" w:cs="Rockwell"/>
                <w:bCs/>
              </w:rPr>
            </w:pPr>
          </w:p>
        </w:tc>
        <w:tc>
          <w:tcPr>
            <w:tcW w:w="2775" w:type="dxa"/>
            <w:vMerge w:val="restart"/>
          </w:tcPr>
          <w:p w:rsidR="00CE5995" w:rsidRDefault="00D37047">
            <w:pPr>
              <w:spacing w:line="360" w:lineRule="auto"/>
              <w:jc w:val="both"/>
              <w:rPr>
                <w:rFonts w:ascii="Rockwell" w:hAnsi="Rockwell" w:cs="Rockwell"/>
                <w:bCs/>
              </w:rPr>
            </w:pPr>
            <w:r>
              <w:rPr>
                <w:rFonts w:ascii="Rockwell" w:hAnsi="Rockwell" w:cs="Rockwell"/>
              </w:rPr>
              <w:t>Wildlife Conservation and Management  Act, 2013</w:t>
            </w:r>
          </w:p>
        </w:tc>
        <w:tc>
          <w:tcPr>
            <w:tcW w:w="3105" w:type="dxa"/>
            <w:vMerge w:val="restart"/>
          </w:tcPr>
          <w:p w:rsidR="00CE5995" w:rsidRDefault="00D37047">
            <w:pPr>
              <w:spacing w:line="360" w:lineRule="auto"/>
              <w:jc w:val="both"/>
              <w:rPr>
                <w:rFonts w:ascii="Rockwell" w:hAnsi="Rockwell" w:cs="Rockwell"/>
                <w:bCs/>
              </w:rPr>
            </w:pPr>
            <w:r>
              <w:rPr>
                <w:rFonts w:ascii="Rockwell" w:hAnsi="Rockwell" w:cs="Rockwell"/>
                <w:bCs/>
              </w:rPr>
              <w:t>Section 26, 45, 46,47</w:t>
            </w:r>
          </w:p>
        </w:tc>
        <w:tc>
          <w:tcPr>
            <w:tcW w:w="2970" w:type="dxa"/>
          </w:tcPr>
          <w:p w:rsidR="00CE5995" w:rsidRDefault="00D37047">
            <w:pPr>
              <w:spacing w:line="360" w:lineRule="auto"/>
              <w:jc w:val="both"/>
              <w:rPr>
                <w:rFonts w:ascii="Rockwell" w:hAnsi="Rockwell" w:cs="Rockwell"/>
                <w:bCs/>
              </w:rPr>
            </w:pPr>
            <w:r>
              <w:rPr>
                <w:rFonts w:ascii="Rockwell" w:hAnsi="Rockwell" w:cs="Rockwell"/>
                <w:bCs/>
              </w:rPr>
              <w:t>Wildlife Conservation and Management</w:t>
            </w:r>
            <w:r w:rsidR="001A1FC0">
              <w:rPr>
                <w:rFonts w:ascii="Rockwell" w:hAnsi="Rockwell" w:cs="Rockwell"/>
                <w:bCs/>
              </w:rPr>
              <w:t xml:space="preserve"> </w:t>
            </w:r>
            <w:r>
              <w:rPr>
                <w:rFonts w:ascii="Rockwell" w:hAnsi="Rockwell" w:cs="Rockwell"/>
                <w:bCs/>
              </w:rPr>
              <w:t>( Protection of Endangered and threatened ecosystems, habitat and species) Regulations, 2017</w:t>
            </w:r>
          </w:p>
        </w:tc>
        <w:tc>
          <w:tcPr>
            <w:tcW w:w="2775" w:type="dxa"/>
            <w:vMerge w:val="restart"/>
          </w:tcPr>
          <w:p w:rsidR="00CE5995" w:rsidRDefault="00D37047">
            <w:pPr>
              <w:spacing w:line="360" w:lineRule="auto"/>
              <w:jc w:val="both"/>
              <w:rPr>
                <w:rFonts w:ascii="Rockwell" w:hAnsi="Rockwell" w:cs="Rockwell"/>
                <w:bCs/>
              </w:rPr>
            </w:pPr>
            <w:r>
              <w:rPr>
                <w:rFonts w:ascii="Rockwell" w:hAnsi="Rockwell" w:cs="Rockwell"/>
                <w:bCs/>
              </w:rPr>
              <w:t>KWS</w:t>
            </w:r>
          </w:p>
          <w:p w:rsidR="00CE5995" w:rsidRDefault="00CE5995">
            <w:pPr>
              <w:spacing w:line="360" w:lineRule="auto"/>
              <w:jc w:val="both"/>
              <w:rPr>
                <w:rFonts w:ascii="Rockwell" w:hAnsi="Rockwell" w:cs="Rockwell"/>
                <w:bCs/>
              </w:rPr>
            </w:pPr>
          </w:p>
        </w:tc>
      </w:tr>
      <w:tr w:rsidR="00CE5995">
        <w:tc>
          <w:tcPr>
            <w:tcW w:w="2315" w:type="dxa"/>
            <w:vMerge/>
          </w:tcPr>
          <w:p w:rsidR="00CE5995" w:rsidRDefault="00CE5995">
            <w:pPr>
              <w:spacing w:line="360" w:lineRule="auto"/>
              <w:jc w:val="both"/>
              <w:rPr>
                <w:rFonts w:ascii="Rockwell" w:hAnsi="Rockwell" w:cs="Rockwell"/>
                <w:bCs/>
              </w:rPr>
            </w:pPr>
          </w:p>
        </w:tc>
        <w:tc>
          <w:tcPr>
            <w:tcW w:w="2775" w:type="dxa"/>
            <w:vMerge/>
          </w:tcPr>
          <w:p w:rsidR="00CE5995" w:rsidRDefault="00CE5995">
            <w:pPr>
              <w:spacing w:line="360" w:lineRule="auto"/>
              <w:jc w:val="both"/>
              <w:rPr>
                <w:rFonts w:ascii="Rockwell" w:hAnsi="Rockwell" w:cs="Rockwell"/>
                <w:bCs/>
              </w:rPr>
            </w:pPr>
          </w:p>
        </w:tc>
        <w:tc>
          <w:tcPr>
            <w:tcW w:w="3105" w:type="dxa"/>
            <w:vMerge/>
          </w:tcPr>
          <w:p w:rsidR="00CE5995" w:rsidRDefault="00CE5995">
            <w:pPr>
              <w:spacing w:line="360" w:lineRule="auto"/>
              <w:jc w:val="both"/>
              <w:rPr>
                <w:rFonts w:ascii="Rockwell" w:hAnsi="Rockwell" w:cs="Rockwell"/>
                <w:bCs/>
              </w:rPr>
            </w:pPr>
          </w:p>
        </w:tc>
        <w:tc>
          <w:tcPr>
            <w:tcW w:w="2970" w:type="dxa"/>
          </w:tcPr>
          <w:p w:rsidR="00CE5995" w:rsidRDefault="00D37047">
            <w:pPr>
              <w:spacing w:line="360" w:lineRule="auto"/>
              <w:jc w:val="both"/>
              <w:rPr>
                <w:rFonts w:ascii="Rockwell" w:hAnsi="Rockwell" w:cs="Rockwell"/>
                <w:bCs/>
              </w:rPr>
            </w:pPr>
            <w:r>
              <w:rPr>
                <w:rFonts w:ascii="Rockwell" w:hAnsi="Rockwell" w:cs="Rockwell"/>
                <w:bCs/>
              </w:rPr>
              <w:t xml:space="preserve">Wildlife Conservation and </w:t>
            </w:r>
            <w:r>
              <w:rPr>
                <w:rFonts w:ascii="Rockwell" w:hAnsi="Rockwell" w:cs="Rockwell"/>
                <w:bCs/>
              </w:rPr>
              <w:lastRenderedPageBreak/>
              <w:t>Management</w:t>
            </w:r>
            <w:r w:rsidR="001A1FC0">
              <w:rPr>
                <w:rFonts w:ascii="Rockwell" w:hAnsi="Rockwell" w:cs="Rockwell"/>
                <w:bCs/>
              </w:rPr>
              <w:t xml:space="preserve"> (</w:t>
            </w:r>
            <w:r>
              <w:rPr>
                <w:rFonts w:ascii="Rockwell" w:hAnsi="Rockwell" w:cs="Rockwell"/>
                <w:bCs/>
              </w:rPr>
              <w:t>Joint Management of Protected Water Towers) Regulations, 2017</w:t>
            </w:r>
          </w:p>
        </w:tc>
        <w:tc>
          <w:tcPr>
            <w:tcW w:w="2775" w:type="dxa"/>
            <w:vMerge/>
          </w:tcPr>
          <w:p w:rsidR="00CE5995" w:rsidRDefault="00CE5995">
            <w:pPr>
              <w:spacing w:line="360" w:lineRule="auto"/>
              <w:jc w:val="both"/>
              <w:rPr>
                <w:rFonts w:ascii="Rockwell" w:hAnsi="Rockwell" w:cs="Rockwell"/>
                <w:bCs/>
              </w:rPr>
            </w:pPr>
          </w:p>
        </w:tc>
      </w:tr>
      <w:tr w:rsidR="00CE5995">
        <w:tc>
          <w:tcPr>
            <w:tcW w:w="2315" w:type="dxa"/>
          </w:tcPr>
          <w:p w:rsidR="00CE5995" w:rsidRDefault="00CE5995">
            <w:pPr>
              <w:spacing w:line="360" w:lineRule="auto"/>
              <w:jc w:val="both"/>
              <w:rPr>
                <w:rFonts w:ascii="Rockwell" w:hAnsi="Rockwell" w:cs="Rockwell"/>
                <w:bCs/>
              </w:rPr>
            </w:pPr>
          </w:p>
        </w:tc>
        <w:tc>
          <w:tcPr>
            <w:tcW w:w="2775" w:type="dxa"/>
          </w:tcPr>
          <w:p w:rsidR="00CE5995" w:rsidRDefault="00D37047">
            <w:pPr>
              <w:spacing w:line="360" w:lineRule="auto"/>
              <w:jc w:val="both"/>
              <w:rPr>
                <w:rFonts w:ascii="Rockwell" w:hAnsi="Rockwell" w:cs="Rockwell"/>
                <w:bCs/>
              </w:rPr>
            </w:pPr>
            <w:r>
              <w:rPr>
                <w:rFonts w:ascii="Rockwell" w:hAnsi="Rockwell" w:cs="Rockwell"/>
              </w:rPr>
              <w:t>National Land Commission Act, 2012</w:t>
            </w:r>
          </w:p>
        </w:tc>
        <w:tc>
          <w:tcPr>
            <w:tcW w:w="3105" w:type="dxa"/>
          </w:tcPr>
          <w:p w:rsidR="00CE5995" w:rsidRDefault="00D37047">
            <w:pPr>
              <w:spacing w:line="360" w:lineRule="auto"/>
              <w:jc w:val="both"/>
              <w:rPr>
                <w:rFonts w:ascii="Rockwell" w:hAnsi="Rockwell" w:cs="Rockwell"/>
                <w:bCs/>
              </w:rPr>
            </w:pPr>
            <w:r>
              <w:rPr>
                <w:rFonts w:ascii="Rockwell" w:hAnsi="Rockwell" w:cs="Rockwell"/>
                <w:bCs/>
              </w:rPr>
              <w:t>Section 5, 6</w:t>
            </w:r>
          </w:p>
        </w:tc>
        <w:tc>
          <w:tcPr>
            <w:tcW w:w="2970" w:type="dxa"/>
          </w:tcPr>
          <w:p w:rsidR="00CE5995" w:rsidRDefault="00D37047">
            <w:pPr>
              <w:spacing w:line="360" w:lineRule="auto"/>
              <w:jc w:val="both"/>
              <w:rPr>
                <w:rFonts w:ascii="Rockwell" w:hAnsi="Rockwell" w:cs="Rockwell"/>
                <w:bCs/>
              </w:rPr>
            </w:pPr>
            <w:r>
              <w:rPr>
                <w:rFonts w:ascii="Rockwell" w:hAnsi="Rockwell" w:cs="Rockwell"/>
                <w:bCs/>
              </w:rPr>
              <w:t>National Land Commission (Review of Grants and Dispositions of Public Land) Regulations, 2017</w:t>
            </w:r>
          </w:p>
        </w:tc>
        <w:tc>
          <w:tcPr>
            <w:tcW w:w="2775" w:type="dxa"/>
          </w:tcPr>
          <w:p w:rsidR="00CE5995" w:rsidRDefault="00D37047">
            <w:pPr>
              <w:spacing w:line="360" w:lineRule="auto"/>
              <w:jc w:val="both"/>
              <w:rPr>
                <w:rFonts w:ascii="Rockwell" w:hAnsi="Rockwell" w:cs="Rockwell"/>
                <w:bCs/>
              </w:rPr>
            </w:pPr>
            <w:r>
              <w:rPr>
                <w:rFonts w:ascii="Rockwell" w:hAnsi="Rockwell" w:cs="Rockwell"/>
                <w:bCs/>
              </w:rPr>
              <w:t>NLC</w:t>
            </w:r>
          </w:p>
        </w:tc>
      </w:tr>
      <w:tr w:rsidR="00CE5995">
        <w:tc>
          <w:tcPr>
            <w:tcW w:w="2315" w:type="dxa"/>
          </w:tcPr>
          <w:p w:rsidR="00CE5995" w:rsidRDefault="00CE5995">
            <w:pPr>
              <w:spacing w:line="360" w:lineRule="auto"/>
              <w:jc w:val="both"/>
              <w:rPr>
                <w:rFonts w:ascii="Rockwell" w:hAnsi="Rockwell" w:cs="Rockwell"/>
                <w:bCs/>
              </w:rPr>
            </w:pPr>
          </w:p>
        </w:tc>
        <w:tc>
          <w:tcPr>
            <w:tcW w:w="2775" w:type="dxa"/>
          </w:tcPr>
          <w:p w:rsidR="00CE5995" w:rsidRDefault="00D37047">
            <w:pPr>
              <w:spacing w:line="360" w:lineRule="auto"/>
              <w:jc w:val="both"/>
              <w:rPr>
                <w:rFonts w:ascii="Rockwell" w:hAnsi="Rockwell" w:cs="Rockwell"/>
                <w:bCs/>
              </w:rPr>
            </w:pPr>
            <w:r>
              <w:rPr>
                <w:rFonts w:ascii="Rockwell" w:hAnsi="Rockwell" w:cs="Rockwell"/>
              </w:rPr>
              <w:t>County Government Act, 2012</w:t>
            </w:r>
          </w:p>
        </w:tc>
        <w:tc>
          <w:tcPr>
            <w:tcW w:w="3105" w:type="dxa"/>
          </w:tcPr>
          <w:p w:rsidR="00CE5995" w:rsidRDefault="00D37047">
            <w:pPr>
              <w:spacing w:line="360" w:lineRule="auto"/>
              <w:jc w:val="both"/>
              <w:rPr>
                <w:rFonts w:ascii="Rockwell" w:hAnsi="Rockwell" w:cs="Rockwell"/>
                <w:bCs/>
              </w:rPr>
            </w:pPr>
            <w:r>
              <w:rPr>
                <w:rFonts w:ascii="Rockwell" w:hAnsi="Rockwell" w:cs="Rockwell"/>
                <w:bCs/>
              </w:rPr>
              <w:t xml:space="preserve">Section 102, 103, 104, 105, 109 </w:t>
            </w:r>
          </w:p>
        </w:tc>
        <w:tc>
          <w:tcPr>
            <w:tcW w:w="2970" w:type="dxa"/>
          </w:tcPr>
          <w:p w:rsidR="00CE5995" w:rsidRDefault="00CE5995">
            <w:pPr>
              <w:spacing w:line="360" w:lineRule="auto"/>
              <w:jc w:val="both"/>
              <w:rPr>
                <w:rFonts w:ascii="Rockwell" w:hAnsi="Rockwell" w:cs="Rockwell"/>
                <w:bCs/>
              </w:rPr>
            </w:pPr>
          </w:p>
        </w:tc>
        <w:tc>
          <w:tcPr>
            <w:tcW w:w="2775" w:type="dxa"/>
          </w:tcPr>
          <w:p w:rsidR="00CE5995" w:rsidRDefault="00D37047">
            <w:pPr>
              <w:spacing w:line="360" w:lineRule="auto"/>
              <w:jc w:val="both"/>
              <w:rPr>
                <w:rFonts w:ascii="Rockwell" w:hAnsi="Rockwell" w:cs="Rockwell"/>
                <w:bCs/>
              </w:rPr>
            </w:pPr>
            <w:r>
              <w:rPr>
                <w:rFonts w:ascii="Rockwell" w:hAnsi="Rockwell" w:cs="Rockwell"/>
                <w:bCs/>
              </w:rPr>
              <w:t>County Government</w:t>
            </w:r>
          </w:p>
        </w:tc>
      </w:tr>
      <w:tr w:rsidR="00CE5995">
        <w:tc>
          <w:tcPr>
            <w:tcW w:w="2315" w:type="dxa"/>
          </w:tcPr>
          <w:p w:rsidR="00CE5995" w:rsidRDefault="00CE5995">
            <w:pPr>
              <w:spacing w:line="360" w:lineRule="auto"/>
              <w:jc w:val="both"/>
              <w:rPr>
                <w:rFonts w:ascii="Rockwell" w:hAnsi="Rockwell" w:cs="Rockwell"/>
                <w:bCs/>
              </w:rPr>
            </w:pPr>
          </w:p>
        </w:tc>
        <w:tc>
          <w:tcPr>
            <w:tcW w:w="2775" w:type="dxa"/>
          </w:tcPr>
          <w:p w:rsidR="00CE5995" w:rsidRDefault="00D37047">
            <w:pPr>
              <w:spacing w:line="360" w:lineRule="auto"/>
              <w:jc w:val="both"/>
              <w:rPr>
                <w:rFonts w:ascii="Rockwell" w:hAnsi="Rockwell" w:cs="Rockwell"/>
                <w:bCs/>
              </w:rPr>
            </w:pPr>
            <w:r>
              <w:rPr>
                <w:rFonts w:ascii="Rockwell" w:hAnsi="Rockwell" w:cs="Rockwell"/>
                <w:bCs/>
              </w:rPr>
              <w:t>Public Health Act</w:t>
            </w:r>
          </w:p>
        </w:tc>
        <w:tc>
          <w:tcPr>
            <w:tcW w:w="3105" w:type="dxa"/>
          </w:tcPr>
          <w:p w:rsidR="00CE5995" w:rsidRDefault="00D37047">
            <w:pPr>
              <w:spacing w:line="360" w:lineRule="auto"/>
              <w:jc w:val="both"/>
              <w:rPr>
                <w:rFonts w:ascii="Rockwell" w:hAnsi="Rockwell" w:cs="Rockwell"/>
                <w:bCs/>
              </w:rPr>
            </w:pPr>
            <w:r>
              <w:rPr>
                <w:rFonts w:ascii="Rockwell" w:hAnsi="Rockwell" w:cs="Rockwell"/>
                <w:bCs/>
              </w:rPr>
              <w:t>Section 21, 22, 38, 115</w:t>
            </w:r>
          </w:p>
        </w:tc>
        <w:tc>
          <w:tcPr>
            <w:tcW w:w="2970" w:type="dxa"/>
          </w:tcPr>
          <w:p w:rsidR="00CE5995" w:rsidRDefault="00CE5995">
            <w:pPr>
              <w:spacing w:line="360" w:lineRule="auto"/>
              <w:jc w:val="both"/>
              <w:rPr>
                <w:rFonts w:ascii="Rockwell" w:hAnsi="Rockwell" w:cs="Rockwell"/>
                <w:bCs/>
              </w:rPr>
            </w:pPr>
          </w:p>
        </w:tc>
        <w:tc>
          <w:tcPr>
            <w:tcW w:w="2775" w:type="dxa"/>
          </w:tcPr>
          <w:p w:rsidR="00CE5995" w:rsidRDefault="001A1FC0" w:rsidP="001A1FC0">
            <w:pPr>
              <w:spacing w:line="360" w:lineRule="auto"/>
              <w:jc w:val="both"/>
              <w:rPr>
                <w:rFonts w:ascii="Rockwell" w:hAnsi="Rockwell" w:cs="Rockwell"/>
                <w:bCs/>
              </w:rPr>
            </w:pPr>
            <w:r>
              <w:rPr>
                <w:rFonts w:ascii="Rockwell" w:hAnsi="Rockwell" w:cs="Rockwell"/>
                <w:bCs/>
              </w:rPr>
              <w:t>Ministry of Health (</w:t>
            </w:r>
            <w:proofErr w:type="spellStart"/>
            <w:r>
              <w:rPr>
                <w:rFonts w:ascii="Rockwell" w:hAnsi="Rockwell" w:cs="Rockwell"/>
                <w:bCs/>
              </w:rPr>
              <w:t>MoH</w:t>
            </w:r>
            <w:proofErr w:type="spellEnd"/>
            <w:r>
              <w:rPr>
                <w:rFonts w:ascii="Rockwell" w:hAnsi="Rockwell" w:cs="Rockwell"/>
                <w:bCs/>
              </w:rPr>
              <w:t>)</w:t>
            </w:r>
          </w:p>
        </w:tc>
      </w:tr>
      <w:tr w:rsidR="00CE5995">
        <w:tc>
          <w:tcPr>
            <w:tcW w:w="2315" w:type="dxa"/>
          </w:tcPr>
          <w:p w:rsidR="00CE5995" w:rsidRDefault="00CE5995">
            <w:pPr>
              <w:spacing w:line="360" w:lineRule="auto"/>
              <w:jc w:val="both"/>
              <w:rPr>
                <w:rFonts w:ascii="Rockwell" w:hAnsi="Rockwell" w:cs="Rockwell"/>
                <w:bCs/>
              </w:rPr>
            </w:pPr>
          </w:p>
        </w:tc>
        <w:tc>
          <w:tcPr>
            <w:tcW w:w="2775" w:type="dxa"/>
          </w:tcPr>
          <w:p w:rsidR="00CE5995" w:rsidRDefault="00D37047">
            <w:pPr>
              <w:spacing w:line="360" w:lineRule="auto"/>
              <w:jc w:val="both"/>
              <w:rPr>
                <w:rFonts w:ascii="Rockwell" w:hAnsi="Rockwell" w:cs="Rockwell"/>
                <w:bCs/>
              </w:rPr>
            </w:pPr>
            <w:r>
              <w:rPr>
                <w:rFonts w:ascii="Rockwell" w:hAnsi="Rockwell" w:cs="Rockwell"/>
                <w:bCs/>
              </w:rPr>
              <w:t>Kenya National Commission on Human Rights, 2011</w:t>
            </w:r>
          </w:p>
        </w:tc>
        <w:tc>
          <w:tcPr>
            <w:tcW w:w="3105" w:type="dxa"/>
          </w:tcPr>
          <w:p w:rsidR="00CE5995" w:rsidRDefault="00D37047">
            <w:pPr>
              <w:spacing w:line="360" w:lineRule="auto"/>
              <w:jc w:val="both"/>
              <w:rPr>
                <w:rFonts w:ascii="Rockwell" w:hAnsi="Rockwell" w:cs="Rockwell"/>
                <w:bCs/>
              </w:rPr>
            </w:pPr>
            <w:r>
              <w:rPr>
                <w:rFonts w:ascii="Rockwell" w:hAnsi="Rockwell" w:cs="Rockwell"/>
                <w:bCs/>
              </w:rPr>
              <w:t>Section 8, 28, 29, 33</w:t>
            </w:r>
          </w:p>
        </w:tc>
        <w:tc>
          <w:tcPr>
            <w:tcW w:w="2970" w:type="dxa"/>
          </w:tcPr>
          <w:p w:rsidR="00CE5995" w:rsidRDefault="00CE5995">
            <w:pPr>
              <w:spacing w:line="360" w:lineRule="auto"/>
              <w:jc w:val="both"/>
              <w:rPr>
                <w:rFonts w:ascii="Rockwell" w:hAnsi="Rockwell" w:cs="Rockwell"/>
                <w:bCs/>
              </w:rPr>
            </w:pPr>
          </w:p>
        </w:tc>
        <w:tc>
          <w:tcPr>
            <w:tcW w:w="2775" w:type="dxa"/>
          </w:tcPr>
          <w:p w:rsidR="00CE5995" w:rsidRDefault="00D37047">
            <w:pPr>
              <w:spacing w:line="360" w:lineRule="auto"/>
              <w:jc w:val="both"/>
              <w:rPr>
                <w:rFonts w:ascii="Rockwell" w:hAnsi="Rockwell" w:cs="Rockwell"/>
                <w:bCs/>
              </w:rPr>
            </w:pPr>
            <w:r>
              <w:rPr>
                <w:rFonts w:ascii="Rockwell" w:hAnsi="Rockwell" w:cs="Rockwell"/>
                <w:bCs/>
              </w:rPr>
              <w:t>KNHCR</w:t>
            </w:r>
          </w:p>
        </w:tc>
      </w:tr>
    </w:tbl>
    <w:p w:rsidR="00CE5995" w:rsidRDefault="00CE5995">
      <w:pPr>
        <w:pStyle w:val="Heading3"/>
        <w:spacing w:line="360" w:lineRule="auto"/>
        <w:ind w:firstLine="720"/>
        <w:jc w:val="both"/>
        <w:rPr>
          <w:rFonts w:ascii="Rockwell" w:hAnsi="Rockwell" w:cs="Rockwell"/>
          <w:b/>
          <w:color w:val="auto"/>
        </w:rPr>
        <w:sectPr w:rsidR="00CE5995">
          <w:pgSz w:w="15840" w:h="12240" w:orient="landscape"/>
          <w:pgMar w:top="1440" w:right="1440" w:bottom="1440" w:left="1440" w:header="720" w:footer="720" w:gutter="0"/>
          <w:cols w:space="0"/>
          <w:docGrid w:linePitch="360"/>
        </w:sectPr>
      </w:pPr>
      <w:bookmarkStart w:id="97" w:name="_Toc425702"/>
    </w:p>
    <w:p w:rsidR="00CE5995" w:rsidRDefault="00D37047">
      <w:pPr>
        <w:pStyle w:val="Heading1"/>
        <w:spacing w:line="360" w:lineRule="auto"/>
        <w:jc w:val="both"/>
        <w:rPr>
          <w:rFonts w:ascii="Rockwell" w:hAnsi="Rockwell" w:cs="Rockwell"/>
          <w:b/>
          <w:color w:val="auto"/>
          <w:sz w:val="24"/>
          <w:szCs w:val="24"/>
        </w:rPr>
      </w:pPr>
      <w:bookmarkStart w:id="98" w:name="_Toc425710"/>
      <w:bookmarkStart w:id="99" w:name="_Toc15569"/>
      <w:bookmarkStart w:id="100" w:name="_Toc27315"/>
      <w:bookmarkStart w:id="101" w:name="_Toc31384"/>
      <w:bookmarkEnd w:id="97"/>
      <w:r>
        <w:rPr>
          <w:rFonts w:ascii="Rockwell" w:hAnsi="Rockwell" w:cs="Rockwell"/>
          <w:b/>
          <w:color w:val="auto"/>
          <w:sz w:val="24"/>
          <w:szCs w:val="24"/>
        </w:rPr>
        <w:lastRenderedPageBreak/>
        <w:t xml:space="preserve">3.0 Mine Site Decommissioning </w:t>
      </w:r>
      <w:r>
        <w:rPr>
          <w:rFonts w:ascii="Rockwell" w:hAnsi="Rockwell" w:cs="Rockwell"/>
          <w:b/>
          <w:color w:val="auto"/>
          <w:sz w:val="24"/>
          <w:szCs w:val="24"/>
          <w:lang w:val="en-GB"/>
        </w:rPr>
        <w:t xml:space="preserve">and Rehabilitation </w:t>
      </w:r>
      <w:r>
        <w:rPr>
          <w:rFonts w:ascii="Rockwell" w:hAnsi="Rockwell" w:cs="Rockwell"/>
          <w:b/>
          <w:color w:val="auto"/>
          <w:sz w:val="24"/>
          <w:szCs w:val="24"/>
        </w:rPr>
        <w:t>Plan</w:t>
      </w:r>
      <w:bookmarkEnd w:id="98"/>
      <w:bookmarkEnd w:id="99"/>
      <w:bookmarkEnd w:id="100"/>
      <w:bookmarkEnd w:id="101"/>
    </w:p>
    <w:p w:rsidR="00CE5995" w:rsidRDefault="00B977CA">
      <w:pPr>
        <w:tabs>
          <w:tab w:val="left" w:pos="720"/>
        </w:tabs>
        <w:spacing w:line="360" w:lineRule="auto"/>
        <w:jc w:val="both"/>
        <w:rPr>
          <w:rFonts w:ascii="Rockwell" w:hAnsi="Rockwell" w:cs="Rockwell"/>
          <w:sz w:val="24"/>
          <w:szCs w:val="24"/>
          <w:lang w:val="en-GB"/>
        </w:rPr>
      </w:pPr>
      <w:r>
        <w:rPr>
          <w:rFonts w:ascii="Rockwell" w:hAnsi="Rockwell" w:cs="Rockwell"/>
          <w:sz w:val="24"/>
          <w:szCs w:val="24"/>
          <w:lang w:val="en-GB"/>
        </w:rPr>
        <w:t>L</w:t>
      </w:r>
      <w:r w:rsidR="00D37047">
        <w:rPr>
          <w:rFonts w:ascii="Rockwell" w:hAnsi="Rockwell" w:cs="Rockwell"/>
          <w:sz w:val="24"/>
          <w:szCs w:val="24"/>
          <w:lang w:val="en-GB"/>
        </w:rPr>
        <w:t xml:space="preserve">ack of </w:t>
      </w:r>
      <w:r w:rsidR="00D355FB">
        <w:rPr>
          <w:rFonts w:ascii="Rockwell" w:hAnsi="Rockwell" w:cs="Rockwell"/>
          <w:sz w:val="24"/>
          <w:szCs w:val="24"/>
          <w:lang w:val="en-GB"/>
        </w:rPr>
        <w:t>national standards to inform on decommissioning and rehabilitation and non-implementation of</w:t>
      </w:r>
      <w:r w:rsidR="00D37047">
        <w:rPr>
          <w:rFonts w:ascii="Rockwell" w:hAnsi="Rockwell" w:cs="Rockwell"/>
          <w:sz w:val="24"/>
          <w:szCs w:val="24"/>
          <w:lang w:val="en-GB"/>
        </w:rPr>
        <w:t xml:space="preserve"> </w:t>
      </w:r>
      <w:r w:rsidR="00D355FB">
        <w:rPr>
          <w:rFonts w:ascii="Rockwell" w:hAnsi="Rockwell" w:cs="Rockwell"/>
          <w:sz w:val="24"/>
          <w:szCs w:val="24"/>
          <w:lang w:val="en-GB"/>
        </w:rPr>
        <w:t xml:space="preserve">international standards and guidelines where they exist </w:t>
      </w:r>
      <w:r w:rsidR="00D37047">
        <w:rPr>
          <w:rFonts w:ascii="Rockwell" w:hAnsi="Rockwell" w:cs="Rockwell"/>
          <w:sz w:val="24"/>
          <w:szCs w:val="24"/>
          <w:lang w:val="en-GB"/>
        </w:rPr>
        <w:t>have resulted in several</w:t>
      </w:r>
      <w:r>
        <w:rPr>
          <w:rFonts w:ascii="Rockwell" w:hAnsi="Rockwell" w:cs="Rockwell"/>
          <w:sz w:val="24"/>
          <w:szCs w:val="24"/>
          <w:lang w:val="en-GB"/>
        </w:rPr>
        <w:t xml:space="preserve"> </w:t>
      </w:r>
      <w:r w:rsidR="00D355FB">
        <w:rPr>
          <w:rFonts w:ascii="Rockwell" w:hAnsi="Rockwell" w:cs="Rockwell"/>
          <w:sz w:val="24"/>
          <w:szCs w:val="24"/>
          <w:lang w:val="en-GB"/>
        </w:rPr>
        <w:t xml:space="preserve">environmental </w:t>
      </w:r>
      <w:r>
        <w:rPr>
          <w:rFonts w:ascii="Rockwell" w:hAnsi="Rockwell" w:cs="Rockwell"/>
          <w:sz w:val="24"/>
          <w:szCs w:val="24"/>
          <w:lang w:val="en-GB"/>
        </w:rPr>
        <w:t>challenges</w:t>
      </w:r>
      <w:r w:rsidR="00D355FB">
        <w:rPr>
          <w:rFonts w:ascii="Rockwell" w:hAnsi="Rockwell" w:cs="Rockwell"/>
          <w:sz w:val="24"/>
          <w:szCs w:val="24"/>
          <w:lang w:val="en-GB"/>
        </w:rPr>
        <w:t>. These have le</w:t>
      </w:r>
      <w:r>
        <w:rPr>
          <w:rFonts w:ascii="Rockwell" w:hAnsi="Rockwell" w:cs="Rockwell"/>
          <w:sz w:val="24"/>
          <w:szCs w:val="24"/>
          <w:lang w:val="en-GB"/>
        </w:rPr>
        <w:t>d</w:t>
      </w:r>
      <w:r w:rsidR="00D37047">
        <w:rPr>
          <w:rFonts w:ascii="Rockwell" w:hAnsi="Rockwell" w:cs="Rockwell"/>
          <w:sz w:val="24"/>
          <w:szCs w:val="24"/>
          <w:lang w:val="en-GB"/>
        </w:rPr>
        <w:t xml:space="preserve"> to none closure of mines, poorly closed mines for those that attempt to do </w:t>
      </w:r>
      <w:r w:rsidR="00D355FB">
        <w:rPr>
          <w:rFonts w:ascii="Rockwell" w:hAnsi="Rockwell" w:cs="Rockwell"/>
          <w:sz w:val="24"/>
          <w:szCs w:val="24"/>
          <w:lang w:val="en-GB"/>
        </w:rPr>
        <w:t xml:space="preserve">so </w:t>
      </w:r>
      <w:r w:rsidR="00D37047">
        <w:rPr>
          <w:rFonts w:ascii="Rockwell" w:hAnsi="Rockwell" w:cs="Rockwell"/>
          <w:sz w:val="24"/>
          <w:szCs w:val="24"/>
          <w:lang w:val="en-GB"/>
        </w:rPr>
        <w:t xml:space="preserve">and the risks posed </w:t>
      </w:r>
      <w:r w:rsidR="00706F65">
        <w:rPr>
          <w:rFonts w:ascii="Rockwell" w:hAnsi="Rockwell" w:cs="Rockwell"/>
          <w:sz w:val="24"/>
          <w:szCs w:val="24"/>
          <w:lang w:val="en-GB"/>
        </w:rPr>
        <w:t xml:space="preserve">to public health and </w:t>
      </w:r>
      <w:r w:rsidR="00D37047">
        <w:rPr>
          <w:rFonts w:ascii="Rockwell" w:hAnsi="Rockwell" w:cs="Rockwell"/>
          <w:sz w:val="24"/>
          <w:szCs w:val="24"/>
          <w:lang w:val="en-GB"/>
        </w:rPr>
        <w:t>the environment</w:t>
      </w:r>
      <w:r w:rsidR="00706F65">
        <w:rPr>
          <w:rFonts w:ascii="Rockwell" w:hAnsi="Rockwell" w:cs="Rockwell"/>
          <w:sz w:val="24"/>
          <w:szCs w:val="24"/>
          <w:lang w:val="en-GB"/>
        </w:rPr>
        <w:t>.</w:t>
      </w:r>
      <w:r w:rsidR="00D37047">
        <w:rPr>
          <w:rFonts w:ascii="Rockwell" w:hAnsi="Rockwell" w:cs="Rockwell"/>
          <w:sz w:val="24"/>
          <w:szCs w:val="24"/>
          <w:lang w:val="en-GB"/>
        </w:rPr>
        <w:t xml:space="preserve"> </w:t>
      </w:r>
    </w:p>
    <w:p w:rsidR="00AB795B" w:rsidRDefault="00AB795B">
      <w:pPr>
        <w:spacing w:line="360" w:lineRule="auto"/>
        <w:jc w:val="both"/>
        <w:rPr>
          <w:rFonts w:ascii="Rockwell" w:hAnsi="Rockwell" w:cs="Rockwell"/>
          <w:sz w:val="24"/>
          <w:szCs w:val="24"/>
        </w:rPr>
      </w:pPr>
    </w:p>
    <w:p w:rsidR="00CE5995" w:rsidRDefault="00706F65">
      <w:pPr>
        <w:spacing w:line="360" w:lineRule="auto"/>
        <w:jc w:val="both"/>
        <w:rPr>
          <w:rFonts w:ascii="Rockwell" w:hAnsi="Rockwell" w:cs="Rockwell"/>
          <w:sz w:val="24"/>
          <w:szCs w:val="24"/>
        </w:rPr>
      </w:pPr>
      <w:r>
        <w:rPr>
          <w:rFonts w:ascii="Rockwell" w:hAnsi="Rockwell" w:cs="Rockwell"/>
          <w:sz w:val="24"/>
          <w:szCs w:val="24"/>
        </w:rPr>
        <w:t>The</w:t>
      </w:r>
      <w:r w:rsidR="00D37047">
        <w:rPr>
          <w:rFonts w:ascii="Rockwell" w:hAnsi="Rockwell" w:cs="Rockwell"/>
          <w:sz w:val="24"/>
          <w:szCs w:val="24"/>
          <w:lang w:val="en-GB"/>
        </w:rPr>
        <w:t xml:space="preserve"> </w:t>
      </w:r>
      <w:r w:rsidR="00600950">
        <w:rPr>
          <w:rFonts w:ascii="Rockwell" w:hAnsi="Rockwell" w:cs="Rockwell"/>
          <w:sz w:val="24"/>
          <w:szCs w:val="24"/>
          <w:lang w:val="en-GB"/>
        </w:rPr>
        <w:t xml:space="preserve">development of this </w:t>
      </w:r>
      <w:r>
        <w:rPr>
          <w:rFonts w:ascii="Rockwell" w:hAnsi="Rockwell" w:cs="Rockwell"/>
          <w:sz w:val="24"/>
          <w:szCs w:val="24"/>
        </w:rPr>
        <w:t>P</w:t>
      </w:r>
      <w:r w:rsidR="00D37047">
        <w:rPr>
          <w:rFonts w:ascii="Rockwell" w:hAnsi="Rockwell" w:cs="Rockwell"/>
          <w:sz w:val="24"/>
          <w:szCs w:val="24"/>
        </w:rPr>
        <w:t xml:space="preserve">lan is meant to achieve a more integrated and disciplined approach </w:t>
      </w:r>
      <w:r w:rsidR="00D37047">
        <w:rPr>
          <w:rFonts w:ascii="Rockwell" w:hAnsi="Rockwell" w:cs="Rockwell"/>
          <w:sz w:val="24"/>
          <w:szCs w:val="24"/>
          <w:lang w:val="en-GB"/>
        </w:rPr>
        <w:t xml:space="preserve">to be </w:t>
      </w:r>
      <w:r w:rsidR="00D37047">
        <w:rPr>
          <w:rFonts w:ascii="Rockwell" w:hAnsi="Rockwell" w:cs="Rockwell"/>
          <w:sz w:val="24"/>
          <w:szCs w:val="24"/>
        </w:rPr>
        <w:t>used during the</w:t>
      </w:r>
      <w:r w:rsidR="00D37047">
        <w:rPr>
          <w:rFonts w:ascii="Rockwell" w:hAnsi="Rockwell" w:cs="Rockwell"/>
          <w:sz w:val="24"/>
          <w:szCs w:val="24"/>
          <w:lang w:val="en-GB"/>
        </w:rPr>
        <w:t xml:space="preserve"> </w:t>
      </w:r>
      <w:proofErr w:type="spellStart"/>
      <w:r w:rsidR="00D37047">
        <w:rPr>
          <w:rFonts w:ascii="Rockwell" w:hAnsi="Rockwell" w:cs="Rockwell"/>
          <w:sz w:val="24"/>
          <w:szCs w:val="24"/>
        </w:rPr>
        <w:t>decommis</w:t>
      </w:r>
      <w:proofErr w:type="spellEnd"/>
      <w:r w:rsidR="00D37047">
        <w:rPr>
          <w:rFonts w:ascii="Rockwell" w:hAnsi="Rockwell" w:cs="Rockwell"/>
          <w:sz w:val="24"/>
          <w:szCs w:val="24"/>
          <w:lang w:val="en-GB"/>
        </w:rPr>
        <w:t>s</w:t>
      </w:r>
      <w:proofErr w:type="spellStart"/>
      <w:r w:rsidR="00D37047">
        <w:rPr>
          <w:rFonts w:ascii="Rockwell" w:hAnsi="Rockwell" w:cs="Rockwell"/>
          <w:sz w:val="24"/>
          <w:szCs w:val="24"/>
        </w:rPr>
        <w:t>ioning</w:t>
      </w:r>
      <w:proofErr w:type="spellEnd"/>
      <w:r w:rsidR="00600950">
        <w:rPr>
          <w:rFonts w:ascii="Rockwell" w:hAnsi="Rockwell" w:cs="Rockwell"/>
          <w:sz w:val="24"/>
          <w:szCs w:val="24"/>
          <w:lang w:val="en-GB"/>
        </w:rPr>
        <w:t xml:space="preserve">, rehabilitation, mine site closure </w:t>
      </w:r>
      <w:r>
        <w:rPr>
          <w:rFonts w:ascii="Rockwell" w:hAnsi="Rockwell" w:cs="Rockwell"/>
          <w:sz w:val="24"/>
          <w:szCs w:val="24"/>
          <w:lang w:val="en-GB"/>
        </w:rPr>
        <w:t>and after-</w:t>
      </w:r>
      <w:r w:rsidR="00600950">
        <w:rPr>
          <w:rFonts w:ascii="Rockwell" w:hAnsi="Rockwell" w:cs="Rockwell"/>
          <w:sz w:val="24"/>
          <w:szCs w:val="24"/>
          <w:lang w:val="en-GB"/>
        </w:rPr>
        <w:t xml:space="preserve">use. </w:t>
      </w:r>
      <w:r w:rsidR="00D37047">
        <w:rPr>
          <w:rFonts w:ascii="Rockwell" w:hAnsi="Rockwell" w:cs="Rockwell"/>
          <w:sz w:val="24"/>
          <w:szCs w:val="24"/>
          <w:lang w:val="en-GB"/>
        </w:rPr>
        <w:t xml:space="preserve">This </w:t>
      </w:r>
      <w:r>
        <w:rPr>
          <w:rFonts w:ascii="Rockwell" w:hAnsi="Rockwell" w:cs="Rockwell"/>
          <w:sz w:val="24"/>
          <w:szCs w:val="24"/>
          <w:lang w:val="en-GB"/>
        </w:rPr>
        <w:t xml:space="preserve">is key in </w:t>
      </w:r>
      <w:r w:rsidR="00D37047">
        <w:rPr>
          <w:rFonts w:ascii="Rockwell" w:hAnsi="Rockwell" w:cs="Rockwell"/>
          <w:sz w:val="24"/>
          <w:szCs w:val="24"/>
          <w:lang w:val="en-GB"/>
        </w:rPr>
        <w:t xml:space="preserve">ensuring environmental integrity and public safety within mine sites. </w:t>
      </w:r>
      <w:r w:rsidR="00D37047">
        <w:rPr>
          <w:rFonts w:ascii="Rockwell" w:hAnsi="Rockwell" w:cs="Rockwell"/>
          <w:sz w:val="24"/>
          <w:szCs w:val="24"/>
        </w:rPr>
        <w:t xml:space="preserve"> </w:t>
      </w:r>
    </w:p>
    <w:p w:rsidR="00CE5995" w:rsidRDefault="00D37047">
      <w:pPr>
        <w:pStyle w:val="Heading1"/>
        <w:spacing w:line="360" w:lineRule="auto"/>
        <w:jc w:val="both"/>
        <w:rPr>
          <w:rFonts w:ascii="Rockwell" w:hAnsi="Rockwell" w:cs="Rockwell"/>
          <w:b/>
          <w:sz w:val="24"/>
          <w:szCs w:val="24"/>
        </w:rPr>
      </w:pPr>
      <w:bookmarkStart w:id="102" w:name="_Toc11448"/>
      <w:bookmarkStart w:id="103" w:name="_Toc24148"/>
      <w:bookmarkStart w:id="104" w:name="_Toc29219"/>
      <w:r>
        <w:rPr>
          <w:rFonts w:ascii="Rockwell" w:hAnsi="Rockwell" w:cs="Rockwell"/>
          <w:b/>
          <w:color w:val="auto"/>
          <w:sz w:val="24"/>
          <w:szCs w:val="24"/>
          <w:lang w:val="en-GB"/>
        </w:rPr>
        <w:t>3.1</w:t>
      </w:r>
      <w:r>
        <w:rPr>
          <w:rFonts w:ascii="Rockwell" w:hAnsi="Rockwell" w:cs="Rockwell"/>
          <w:b/>
          <w:color w:val="auto"/>
          <w:sz w:val="24"/>
          <w:szCs w:val="24"/>
        </w:rPr>
        <w:t xml:space="preserve"> Typical Structure of the </w:t>
      </w:r>
      <w:r w:rsidR="00671E67">
        <w:rPr>
          <w:rFonts w:ascii="Rockwell" w:hAnsi="Rockwell" w:cs="Rockwell"/>
          <w:b/>
          <w:color w:val="auto"/>
          <w:sz w:val="24"/>
          <w:szCs w:val="24"/>
        </w:rPr>
        <w:t xml:space="preserve">Mine Site Decommissioning </w:t>
      </w:r>
      <w:r w:rsidR="00671E67">
        <w:rPr>
          <w:rFonts w:ascii="Rockwell" w:hAnsi="Rockwell" w:cs="Rockwell"/>
          <w:b/>
          <w:color w:val="auto"/>
          <w:sz w:val="24"/>
          <w:szCs w:val="24"/>
          <w:lang w:val="en-GB"/>
        </w:rPr>
        <w:t xml:space="preserve">and Rehabilitation </w:t>
      </w:r>
      <w:r>
        <w:rPr>
          <w:rFonts w:ascii="Rockwell" w:hAnsi="Rockwell" w:cs="Rockwell"/>
          <w:b/>
          <w:color w:val="auto"/>
          <w:sz w:val="24"/>
          <w:szCs w:val="24"/>
        </w:rPr>
        <w:t>Plan</w:t>
      </w:r>
      <w:bookmarkEnd w:id="102"/>
      <w:bookmarkEnd w:id="103"/>
      <w:bookmarkEnd w:id="104"/>
      <w:r>
        <w:rPr>
          <w:rFonts w:ascii="Rockwell" w:hAnsi="Rockwell" w:cs="Rockwell"/>
          <w:b/>
          <w:color w:val="auto"/>
          <w:sz w:val="24"/>
          <w:szCs w:val="24"/>
        </w:rPr>
        <w:t xml:space="preserve"> </w:t>
      </w:r>
    </w:p>
    <w:p w:rsidR="00CE5995" w:rsidRDefault="00D37047">
      <w:pPr>
        <w:spacing w:line="360" w:lineRule="auto"/>
        <w:jc w:val="both"/>
        <w:rPr>
          <w:rFonts w:ascii="Rockwell" w:hAnsi="Rockwell" w:cs="Rockwell"/>
          <w:sz w:val="24"/>
          <w:szCs w:val="24"/>
        </w:rPr>
      </w:pPr>
      <w:r>
        <w:rPr>
          <w:rFonts w:ascii="Rockwell" w:hAnsi="Rockwell" w:cs="Rockwell"/>
          <w:sz w:val="24"/>
          <w:szCs w:val="24"/>
          <w:lang w:val="en-GB"/>
        </w:rPr>
        <w:t xml:space="preserve">The </w:t>
      </w:r>
      <w:r w:rsidR="00671E67">
        <w:rPr>
          <w:rFonts w:ascii="Rockwell" w:hAnsi="Rockwell" w:cs="Rockwell"/>
          <w:sz w:val="24"/>
          <w:szCs w:val="24"/>
        </w:rPr>
        <w:t>P</w:t>
      </w:r>
      <w:r>
        <w:rPr>
          <w:rFonts w:ascii="Rockwell" w:hAnsi="Rockwell" w:cs="Rockwell"/>
          <w:sz w:val="24"/>
          <w:szCs w:val="24"/>
        </w:rPr>
        <w:t>lan should be structured in the following format to ensure consistency across the min</w:t>
      </w:r>
      <w:r w:rsidR="00671E67">
        <w:rPr>
          <w:rFonts w:ascii="Rockwell" w:hAnsi="Rockwell" w:cs="Rockwell"/>
          <w:sz w:val="24"/>
          <w:szCs w:val="24"/>
        </w:rPr>
        <w:t xml:space="preserve">ing sector to enable evaluation for adequacy, accuracy and completeness </w:t>
      </w:r>
      <w:r>
        <w:rPr>
          <w:rFonts w:ascii="Rockwell" w:hAnsi="Rockwell" w:cs="Rockwell"/>
          <w:sz w:val="24"/>
          <w:szCs w:val="24"/>
        </w:rPr>
        <w:t>once submitted</w:t>
      </w:r>
      <w:r w:rsidR="00671E67">
        <w:rPr>
          <w:rFonts w:ascii="Rockwell" w:hAnsi="Rockwell" w:cs="Rockwell"/>
          <w:sz w:val="24"/>
          <w:szCs w:val="24"/>
        </w:rPr>
        <w:t xml:space="preserve"> to NEMA</w:t>
      </w:r>
      <w:r>
        <w:rPr>
          <w:rFonts w:ascii="Rockwell" w:hAnsi="Rockwell" w:cs="Rockwell"/>
          <w:sz w:val="24"/>
          <w:szCs w:val="24"/>
        </w:rPr>
        <w:t>:</w:t>
      </w:r>
    </w:p>
    <w:p w:rsidR="00CE5995" w:rsidRDefault="00D37047">
      <w:pPr>
        <w:pStyle w:val="ListParagraph"/>
        <w:numPr>
          <w:ilvl w:val="0"/>
          <w:numId w:val="3"/>
        </w:numPr>
        <w:spacing w:line="360" w:lineRule="auto"/>
        <w:jc w:val="both"/>
        <w:rPr>
          <w:rFonts w:ascii="Rockwell" w:hAnsi="Rockwell" w:cs="Rockwell"/>
          <w:sz w:val="24"/>
          <w:szCs w:val="24"/>
        </w:rPr>
      </w:pPr>
      <w:r>
        <w:rPr>
          <w:rFonts w:ascii="Rockwell" w:hAnsi="Rockwell" w:cs="Rockwell"/>
          <w:b/>
          <w:sz w:val="24"/>
          <w:szCs w:val="24"/>
        </w:rPr>
        <w:t>Cover Page</w:t>
      </w:r>
      <w:r>
        <w:rPr>
          <w:rFonts w:ascii="Rockwell" w:hAnsi="Rockwell" w:cs="Rockwell"/>
          <w:sz w:val="24"/>
          <w:szCs w:val="24"/>
        </w:rPr>
        <w:t xml:space="preserve"> </w:t>
      </w:r>
    </w:p>
    <w:p w:rsidR="00CE5995" w:rsidRDefault="00D37047">
      <w:pPr>
        <w:spacing w:line="360" w:lineRule="auto"/>
        <w:jc w:val="both"/>
        <w:rPr>
          <w:rFonts w:ascii="Rockwell" w:hAnsi="Rockwell" w:cs="Rockwell"/>
          <w:sz w:val="24"/>
          <w:szCs w:val="24"/>
        </w:rPr>
      </w:pPr>
      <w:r>
        <w:rPr>
          <w:rFonts w:ascii="Rockwell" w:hAnsi="Rockwell" w:cs="Rockwell"/>
          <w:sz w:val="24"/>
          <w:szCs w:val="24"/>
        </w:rPr>
        <w:t>The following information must be included on</w:t>
      </w:r>
      <w:r>
        <w:rPr>
          <w:rFonts w:ascii="Rockwell" w:hAnsi="Rockwell" w:cs="Rockwell"/>
          <w:sz w:val="24"/>
          <w:szCs w:val="24"/>
          <w:lang w:val="en-GB"/>
        </w:rPr>
        <w:t xml:space="preserve"> the </w:t>
      </w:r>
      <w:r>
        <w:rPr>
          <w:rFonts w:ascii="Rockwell" w:hAnsi="Rockwell" w:cs="Rockwell"/>
          <w:sz w:val="24"/>
          <w:szCs w:val="24"/>
        </w:rPr>
        <w:t>cover page</w:t>
      </w:r>
      <w:r>
        <w:rPr>
          <w:rFonts w:ascii="Rockwell" w:hAnsi="Rockwell" w:cs="Rockwell"/>
          <w:sz w:val="24"/>
          <w:szCs w:val="24"/>
          <w:lang w:val="en-GB"/>
        </w:rPr>
        <w:t xml:space="preserve"> of the P</w:t>
      </w:r>
      <w:proofErr w:type="spellStart"/>
      <w:r w:rsidR="00671E67">
        <w:rPr>
          <w:rFonts w:ascii="Rockwell" w:hAnsi="Rockwell" w:cs="Rockwell"/>
          <w:sz w:val="24"/>
          <w:szCs w:val="24"/>
        </w:rPr>
        <w:t>lan</w:t>
      </w:r>
      <w:proofErr w:type="spellEnd"/>
      <w:r>
        <w:rPr>
          <w:rFonts w:ascii="Rockwell" w:hAnsi="Rockwell" w:cs="Rockwell"/>
          <w:sz w:val="24"/>
          <w:szCs w:val="24"/>
        </w:rPr>
        <w:t xml:space="preserve">: </w:t>
      </w:r>
    </w:p>
    <w:p w:rsidR="00CE5995" w:rsidRDefault="00D37047" w:rsidP="00757A0E">
      <w:pPr>
        <w:numPr>
          <w:ilvl w:val="0"/>
          <w:numId w:val="15"/>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Title of project; </w:t>
      </w:r>
    </w:p>
    <w:p w:rsidR="00CE5995" w:rsidRDefault="00D37047" w:rsidP="00757A0E">
      <w:pPr>
        <w:numPr>
          <w:ilvl w:val="0"/>
          <w:numId w:val="15"/>
        </w:numPr>
        <w:tabs>
          <w:tab w:val="left" w:pos="420"/>
        </w:tabs>
        <w:spacing w:line="360" w:lineRule="auto"/>
        <w:jc w:val="both"/>
        <w:rPr>
          <w:rFonts w:ascii="Rockwell" w:hAnsi="Rockwell" w:cs="Rockwell"/>
          <w:sz w:val="24"/>
          <w:szCs w:val="24"/>
        </w:rPr>
      </w:pPr>
      <w:r>
        <w:rPr>
          <w:rFonts w:ascii="Rockwell" w:hAnsi="Rockwell" w:cs="Rockwell"/>
          <w:sz w:val="24"/>
          <w:szCs w:val="24"/>
          <w:lang w:val="en-GB"/>
        </w:rPr>
        <w:t>The mine site location</w:t>
      </w:r>
      <w:r w:rsidR="00671E67">
        <w:rPr>
          <w:rFonts w:ascii="Rockwell" w:hAnsi="Rockwell" w:cs="Rockwell"/>
          <w:sz w:val="24"/>
          <w:szCs w:val="24"/>
          <w:lang w:val="en-GB"/>
        </w:rPr>
        <w:t xml:space="preserve"> </w:t>
      </w:r>
      <w:r>
        <w:rPr>
          <w:rFonts w:ascii="Rockwell" w:hAnsi="Rockwell" w:cs="Rockwell"/>
          <w:sz w:val="24"/>
          <w:szCs w:val="24"/>
          <w:lang w:val="en-GB"/>
        </w:rPr>
        <w:t>-</w:t>
      </w:r>
      <w:r w:rsidR="00671E67">
        <w:rPr>
          <w:rFonts w:ascii="Rockwell" w:hAnsi="Rockwell" w:cs="Rockwell"/>
          <w:sz w:val="24"/>
          <w:szCs w:val="24"/>
          <w:lang w:val="en-GB"/>
        </w:rPr>
        <w:t xml:space="preserve"> </w:t>
      </w:r>
      <w:r>
        <w:rPr>
          <w:rFonts w:ascii="Rockwell" w:hAnsi="Rockwell" w:cs="Rockwell"/>
          <w:sz w:val="24"/>
          <w:szCs w:val="24"/>
          <w:lang w:val="en-GB"/>
        </w:rPr>
        <w:t>L.R. Number and GPS Coordinates</w:t>
      </w:r>
      <w:r w:rsidR="007C0156">
        <w:rPr>
          <w:rFonts w:ascii="Rockwell" w:hAnsi="Rockwell" w:cs="Rockwell"/>
          <w:sz w:val="24"/>
          <w:szCs w:val="24"/>
          <w:lang w:val="en-GB"/>
        </w:rPr>
        <w:t>;</w:t>
      </w:r>
    </w:p>
    <w:p w:rsidR="00CE5995" w:rsidRDefault="00D37047" w:rsidP="00757A0E">
      <w:pPr>
        <w:numPr>
          <w:ilvl w:val="0"/>
          <w:numId w:val="15"/>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Date of submission; </w:t>
      </w:r>
    </w:p>
    <w:p w:rsidR="00CE5995" w:rsidRDefault="00D37047" w:rsidP="00757A0E">
      <w:pPr>
        <w:numPr>
          <w:ilvl w:val="0"/>
          <w:numId w:val="15"/>
        </w:numPr>
        <w:tabs>
          <w:tab w:val="left" w:pos="420"/>
        </w:tabs>
        <w:spacing w:line="360" w:lineRule="auto"/>
        <w:jc w:val="both"/>
        <w:rPr>
          <w:rFonts w:ascii="Rockwell" w:hAnsi="Rockwell" w:cs="Rockwell"/>
          <w:sz w:val="24"/>
          <w:szCs w:val="24"/>
        </w:rPr>
      </w:pPr>
      <w:r>
        <w:rPr>
          <w:rFonts w:ascii="Rockwell" w:hAnsi="Rockwell" w:cs="Rockwell"/>
          <w:sz w:val="24"/>
          <w:szCs w:val="24"/>
        </w:rPr>
        <w:t>E</w:t>
      </w:r>
      <w:r w:rsidR="00F04001">
        <w:rPr>
          <w:rFonts w:ascii="Rockwell" w:hAnsi="Rockwell" w:cs="Rockwell"/>
          <w:sz w:val="24"/>
          <w:szCs w:val="24"/>
        </w:rPr>
        <w:t>S</w:t>
      </w:r>
      <w:r>
        <w:rPr>
          <w:rFonts w:ascii="Rockwell" w:hAnsi="Rockwell" w:cs="Rockwell"/>
          <w:sz w:val="24"/>
          <w:szCs w:val="24"/>
        </w:rPr>
        <w:t>IA License Number</w:t>
      </w:r>
      <w:r>
        <w:rPr>
          <w:rFonts w:ascii="Rockwell" w:hAnsi="Rockwell" w:cs="Rockwell"/>
          <w:sz w:val="24"/>
          <w:szCs w:val="24"/>
          <w:lang w:val="en-GB"/>
        </w:rPr>
        <w:t xml:space="preserve"> if applicable</w:t>
      </w:r>
      <w:r>
        <w:rPr>
          <w:rFonts w:ascii="Rockwell" w:hAnsi="Rockwell" w:cs="Rockwell"/>
          <w:sz w:val="24"/>
          <w:szCs w:val="24"/>
        </w:rPr>
        <w:t>;</w:t>
      </w:r>
    </w:p>
    <w:p w:rsidR="00CE5995" w:rsidRDefault="00F04001" w:rsidP="00757A0E">
      <w:pPr>
        <w:numPr>
          <w:ilvl w:val="0"/>
          <w:numId w:val="15"/>
        </w:numPr>
        <w:tabs>
          <w:tab w:val="left" w:pos="420"/>
        </w:tabs>
        <w:spacing w:line="360" w:lineRule="auto"/>
        <w:jc w:val="both"/>
        <w:rPr>
          <w:rFonts w:ascii="Rockwell" w:hAnsi="Rockwell" w:cs="Rockwell"/>
          <w:sz w:val="24"/>
          <w:szCs w:val="24"/>
        </w:rPr>
      </w:pPr>
      <w:r>
        <w:rPr>
          <w:rFonts w:ascii="Rockwell" w:hAnsi="Rockwell" w:cs="Rockwell"/>
          <w:sz w:val="24"/>
          <w:szCs w:val="24"/>
          <w:lang w:val="en-GB"/>
        </w:rPr>
        <w:t>Environmental A</w:t>
      </w:r>
      <w:r w:rsidR="00D37047">
        <w:rPr>
          <w:rFonts w:ascii="Rockwell" w:hAnsi="Rockwell" w:cs="Rockwell"/>
          <w:sz w:val="24"/>
          <w:szCs w:val="24"/>
          <w:lang w:val="en-GB"/>
        </w:rPr>
        <w:t>udit reference number</w:t>
      </w:r>
      <w:r>
        <w:rPr>
          <w:rFonts w:ascii="Rockwell" w:hAnsi="Rockwell" w:cs="Rockwell"/>
          <w:sz w:val="24"/>
          <w:szCs w:val="24"/>
          <w:lang w:val="en-GB"/>
        </w:rPr>
        <w:t>;</w:t>
      </w:r>
      <w:r w:rsidR="00D37047">
        <w:rPr>
          <w:rFonts w:ascii="Rockwell" w:hAnsi="Rockwell" w:cs="Rockwell"/>
          <w:sz w:val="24"/>
          <w:szCs w:val="24"/>
        </w:rPr>
        <w:t xml:space="preserve"> </w:t>
      </w:r>
    </w:p>
    <w:p w:rsidR="00CE5995" w:rsidRDefault="00D37047" w:rsidP="00757A0E">
      <w:pPr>
        <w:numPr>
          <w:ilvl w:val="0"/>
          <w:numId w:val="15"/>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Mining permit number; </w:t>
      </w:r>
    </w:p>
    <w:p w:rsidR="00CE5995" w:rsidRDefault="00D37047" w:rsidP="00757A0E">
      <w:pPr>
        <w:numPr>
          <w:ilvl w:val="0"/>
          <w:numId w:val="15"/>
        </w:numPr>
        <w:tabs>
          <w:tab w:val="left" w:pos="420"/>
        </w:tabs>
        <w:spacing w:line="360" w:lineRule="auto"/>
        <w:jc w:val="both"/>
        <w:rPr>
          <w:rFonts w:ascii="Rockwell" w:hAnsi="Rockwell" w:cs="Rockwell"/>
          <w:sz w:val="24"/>
          <w:szCs w:val="24"/>
        </w:rPr>
      </w:pPr>
      <w:r>
        <w:rPr>
          <w:rFonts w:ascii="Rockwell" w:hAnsi="Rockwell" w:cs="Rockwell"/>
          <w:sz w:val="24"/>
          <w:szCs w:val="24"/>
        </w:rPr>
        <w:t>Company name; and</w:t>
      </w:r>
    </w:p>
    <w:p w:rsidR="00CE5995" w:rsidRDefault="00D37047" w:rsidP="00757A0E">
      <w:pPr>
        <w:numPr>
          <w:ilvl w:val="0"/>
          <w:numId w:val="15"/>
        </w:numPr>
        <w:tabs>
          <w:tab w:val="left" w:pos="420"/>
        </w:tabs>
        <w:spacing w:line="360" w:lineRule="auto"/>
        <w:jc w:val="both"/>
        <w:rPr>
          <w:rFonts w:ascii="Rockwell" w:hAnsi="Rockwell" w:cs="Rockwell"/>
          <w:sz w:val="24"/>
          <w:szCs w:val="24"/>
        </w:rPr>
      </w:pPr>
      <w:r>
        <w:rPr>
          <w:rFonts w:ascii="Rockwell" w:hAnsi="Rockwell" w:cs="Rockwell"/>
          <w:sz w:val="24"/>
          <w:szCs w:val="24"/>
        </w:rPr>
        <w:t>Contact details (including the name, address and con</w:t>
      </w:r>
      <w:r w:rsidR="00671E67">
        <w:rPr>
          <w:rFonts w:ascii="Rockwell" w:hAnsi="Rockwell" w:cs="Rockwell"/>
          <w:sz w:val="24"/>
          <w:szCs w:val="24"/>
        </w:rPr>
        <w:t>tact of the proponents</w:t>
      </w:r>
      <w:r>
        <w:rPr>
          <w:rFonts w:ascii="Rockwell" w:hAnsi="Rockwell" w:cs="Rockwell"/>
          <w:sz w:val="24"/>
          <w:szCs w:val="24"/>
        </w:rPr>
        <w:t xml:space="preserve"> and/or operator).</w:t>
      </w:r>
    </w:p>
    <w:p w:rsidR="00671E67" w:rsidRDefault="00671E67">
      <w:pPr>
        <w:numPr>
          <w:ilvl w:val="255"/>
          <w:numId w:val="0"/>
        </w:numPr>
        <w:spacing w:line="360" w:lineRule="auto"/>
        <w:ind w:left="840"/>
        <w:jc w:val="both"/>
        <w:rPr>
          <w:rFonts w:ascii="Rockwell" w:hAnsi="Rockwell" w:cs="Rockwell"/>
          <w:sz w:val="24"/>
          <w:szCs w:val="24"/>
        </w:rPr>
      </w:pPr>
    </w:p>
    <w:p w:rsidR="00197AFF" w:rsidRDefault="00197AFF">
      <w:pPr>
        <w:numPr>
          <w:ilvl w:val="255"/>
          <w:numId w:val="0"/>
        </w:numPr>
        <w:spacing w:line="360" w:lineRule="auto"/>
        <w:ind w:left="840"/>
        <w:jc w:val="both"/>
        <w:rPr>
          <w:rFonts w:ascii="Rockwell" w:hAnsi="Rockwell" w:cs="Rockwell"/>
          <w:sz w:val="24"/>
          <w:szCs w:val="24"/>
        </w:rPr>
      </w:pPr>
    </w:p>
    <w:p w:rsidR="00197AFF" w:rsidRDefault="00197AFF">
      <w:pPr>
        <w:numPr>
          <w:ilvl w:val="255"/>
          <w:numId w:val="0"/>
        </w:numPr>
        <w:spacing w:line="360" w:lineRule="auto"/>
        <w:ind w:left="840"/>
        <w:jc w:val="both"/>
        <w:rPr>
          <w:rFonts w:ascii="Rockwell" w:hAnsi="Rockwell" w:cs="Rockwell"/>
          <w:sz w:val="24"/>
          <w:szCs w:val="24"/>
        </w:rPr>
      </w:pPr>
    </w:p>
    <w:p w:rsidR="00CE5995" w:rsidRDefault="00D37047">
      <w:pPr>
        <w:pStyle w:val="ListParagraph"/>
        <w:numPr>
          <w:ilvl w:val="0"/>
          <w:numId w:val="3"/>
        </w:numPr>
        <w:spacing w:line="360" w:lineRule="auto"/>
        <w:jc w:val="both"/>
        <w:rPr>
          <w:rFonts w:ascii="Rockwell" w:hAnsi="Rockwell" w:cs="Rockwell"/>
          <w:sz w:val="24"/>
          <w:szCs w:val="24"/>
        </w:rPr>
      </w:pPr>
      <w:r>
        <w:rPr>
          <w:rFonts w:ascii="Rockwell" w:hAnsi="Rockwell" w:cs="Rockwell"/>
          <w:b/>
          <w:sz w:val="24"/>
          <w:szCs w:val="24"/>
        </w:rPr>
        <w:lastRenderedPageBreak/>
        <w:t>Table of Contents</w:t>
      </w:r>
      <w:r>
        <w:rPr>
          <w:rFonts w:ascii="Rockwell" w:hAnsi="Rockwell" w:cs="Rockwell"/>
          <w:sz w:val="24"/>
          <w:szCs w:val="24"/>
        </w:rPr>
        <w:t xml:space="preserve"> </w:t>
      </w: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The Table of Contents for </w:t>
      </w:r>
      <w:r w:rsidR="00694E51">
        <w:rPr>
          <w:rFonts w:ascii="Rockwell" w:hAnsi="Rockwell" w:cs="Rockwell"/>
          <w:sz w:val="24"/>
          <w:szCs w:val="24"/>
        </w:rPr>
        <w:t>the P</w:t>
      </w:r>
      <w:r>
        <w:rPr>
          <w:rFonts w:ascii="Rockwell" w:hAnsi="Rockwell" w:cs="Rockwell"/>
          <w:sz w:val="24"/>
          <w:szCs w:val="24"/>
        </w:rPr>
        <w:t>lan (among other standard items) must inc</w:t>
      </w:r>
      <w:r w:rsidR="00757A0E">
        <w:rPr>
          <w:rFonts w:ascii="Rockwell" w:hAnsi="Rockwell" w:cs="Rockwell"/>
          <w:sz w:val="24"/>
          <w:szCs w:val="24"/>
        </w:rPr>
        <w:t xml:space="preserve">lude; an authentication page, </w:t>
      </w:r>
      <w:r>
        <w:rPr>
          <w:rFonts w:ascii="Rockwell" w:hAnsi="Rockwell" w:cs="Rockwell"/>
          <w:sz w:val="24"/>
          <w:szCs w:val="24"/>
        </w:rPr>
        <w:t>list of figures, tables</w:t>
      </w:r>
      <w:r w:rsidR="00757A0E">
        <w:rPr>
          <w:rFonts w:ascii="Rockwell" w:hAnsi="Rockwell" w:cs="Rockwell"/>
          <w:sz w:val="24"/>
          <w:szCs w:val="24"/>
        </w:rPr>
        <w:t xml:space="preserve">, photos of the project site intended for decommissioning (before and after) </w:t>
      </w:r>
      <w:r>
        <w:rPr>
          <w:rFonts w:ascii="Rockwell" w:hAnsi="Rockwell" w:cs="Rockwell"/>
          <w:sz w:val="24"/>
          <w:szCs w:val="24"/>
        </w:rPr>
        <w:t xml:space="preserve">and maps as </w:t>
      </w:r>
      <w:r w:rsidR="00757A0E">
        <w:rPr>
          <w:rFonts w:ascii="Rockwell" w:hAnsi="Rockwell" w:cs="Rockwell"/>
          <w:sz w:val="24"/>
          <w:szCs w:val="24"/>
        </w:rPr>
        <w:t xml:space="preserve">may be </w:t>
      </w:r>
      <w:r>
        <w:rPr>
          <w:rFonts w:ascii="Rockwell" w:hAnsi="Rockwell" w:cs="Rockwell"/>
          <w:sz w:val="24"/>
          <w:szCs w:val="24"/>
        </w:rPr>
        <w:t>appropriate.</w:t>
      </w:r>
    </w:p>
    <w:p w:rsidR="00CE5995" w:rsidRDefault="00CE5995">
      <w:pPr>
        <w:spacing w:line="360" w:lineRule="auto"/>
        <w:jc w:val="both"/>
        <w:rPr>
          <w:rFonts w:ascii="Rockwell" w:hAnsi="Rockwell" w:cs="Rockwell"/>
          <w:sz w:val="24"/>
          <w:szCs w:val="24"/>
        </w:rPr>
      </w:pPr>
    </w:p>
    <w:p w:rsidR="00CE5995" w:rsidRDefault="00D37047">
      <w:pPr>
        <w:pStyle w:val="ListParagraph"/>
        <w:numPr>
          <w:ilvl w:val="0"/>
          <w:numId w:val="3"/>
        </w:numPr>
        <w:spacing w:line="360" w:lineRule="auto"/>
        <w:jc w:val="both"/>
        <w:rPr>
          <w:rFonts w:ascii="Rockwell" w:hAnsi="Rockwell" w:cs="Rockwell"/>
          <w:sz w:val="24"/>
          <w:szCs w:val="24"/>
        </w:rPr>
      </w:pPr>
      <w:r>
        <w:rPr>
          <w:rFonts w:ascii="Rockwell" w:hAnsi="Rockwell" w:cs="Rockwell"/>
          <w:b/>
          <w:sz w:val="24"/>
          <w:szCs w:val="24"/>
        </w:rPr>
        <w:t>Scope and Purpose</w:t>
      </w:r>
      <w:r>
        <w:rPr>
          <w:rFonts w:ascii="Rockwell" w:hAnsi="Rockwell" w:cs="Rockwell"/>
          <w:sz w:val="24"/>
          <w:szCs w:val="24"/>
        </w:rPr>
        <w:t xml:space="preserve"> </w:t>
      </w: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This section describes why the </w:t>
      </w:r>
      <w:r w:rsidR="00757A0E">
        <w:rPr>
          <w:rFonts w:ascii="Rockwell" w:hAnsi="Rockwell" w:cs="Rockwell"/>
          <w:sz w:val="24"/>
          <w:szCs w:val="24"/>
        </w:rPr>
        <w:t>P</w:t>
      </w:r>
      <w:r>
        <w:rPr>
          <w:rFonts w:ascii="Rockwell" w:hAnsi="Rockwell" w:cs="Rockwell"/>
          <w:sz w:val="24"/>
          <w:szCs w:val="24"/>
        </w:rPr>
        <w:t xml:space="preserve">lan is being </w:t>
      </w:r>
      <w:r>
        <w:rPr>
          <w:rFonts w:ascii="Rockwell" w:hAnsi="Rockwell" w:cs="Rockwell"/>
          <w:sz w:val="24"/>
          <w:szCs w:val="24"/>
          <w:lang w:val="en-GB"/>
        </w:rPr>
        <w:t xml:space="preserve">prepared </w:t>
      </w:r>
      <w:r>
        <w:rPr>
          <w:rFonts w:ascii="Rockwell" w:hAnsi="Rockwell" w:cs="Rockwell"/>
          <w:sz w:val="24"/>
          <w:szCs w:val="24"/>
        </w:rPr>
        <w:t>and details out the scope of the Plan and other relevant introductory information.</w:t>
      </w:r>
    </w:p>
    <w:p w:rsidR="00CE5995" w:rsidRDefault="00D37047">
      <w:pPr>
        <w:spacing w:line="360" w:lineRule="auto"/>
        <w:jc w:val="both"/>
        <w:rPr>
          <w:rFonts w:ascii="Rockwell" w:hAnsi="Rockwell" w:cs="Rockwell"/>
          <w:sz w:val="24"/>
          <w:szCs w:val="24"/>
        </w:rPr>
      </w:pPr>
      <w:r>
        <w:rPr>
          <w:rFonts w:ascii="Rockwell" w:hAnsi="Rockwell" w:cs="Rockwell"/>
          <w:sz w:val="24"/>
          <w:szCs w:val="24"/>
        </w:rPr>
        <w:tab/>
      </w:r>
    </w:p>
    <w:p w:rsidR="00CE5995" w:rsidRDefault="00757A0E">
      <w:pPr>
        <w:pStyle w:val="ListParagraph"/>
        <w:numPr>
          <w:ilvl w:val="0"/>
          <w:numId w:val="3"/>
        </w:numPr>
        <w:spacing w:line="360" w:lineRule="auto"/>
        <w:jc w:val="both"/>
        <w:rPr>
          <w:rFonts w:ascii="Rockwell" w:hAnsi="Rockwell" w:cs="Rockwell"/>
          <w:b/>
          <w:sz w:val="24"/>
          <w:szCs w:val="24"/>
        </w:rPr>
      </w:pPr>
      <w:r>
        <w:rPr>
          <w:rFonts w:ascii="Rockwell" w:hAnsi="Rockwell" w:cs="Rockwell"/>
          <w:b/>
          <w:sz w:val="24"/>
          <w:szCs w:val="24"/>
        </w:rPr>
        <w:t>Project Description</w:t>
      </w:r>
    </w:p>
    <w:p w:rsidR="00CE5995" w:rsidRDefault="00D37047">
      <w:pPr>
        <w:spacing w:line="360" w:lineRule="auto"/>
        <w:jc w:val="both"/>
        <w:rPr>
          <w:rFonts w:ascii="Rockwell" w:hAnsi="Rockwell" w:cs="Rockwell"/>
          <w:sz w:val="24"/>
          <w:szCs w:val="24"/>
        </w:rPr>
      </w:pPr>
      <w:r>
        <w:rPr>
          <w:rFonts w:ascii="Rockwell" w:hAnsi="Rockwell" w:cs="Rockwell"/>
          <w:sz w:val="24"/>
          <w:szCs w:val="24"/>
        </w:rPr>
        <w:t>This section de</w:t>
      </w:r>
      <w:r w:rsidR="0052152E">
        <w:rPr>
          <w:rFonts w:ascii="Rockwell" w:hAnsi="Rockwell" w:cs="Rockwell"/>
          <w:sz w:val="24"/>
          <w:szCs w:val="24"/>
        </w:rPr>
        <w:t>tails site description, physical and geological characteristics of the site and mining operations being undertaken. T</w:t>
      </w:r>
      <w:r>
        <w:rPr>
          <w:rFonts w:ascii="Rockwell" w:hAnsi="Rockwell" w:cs="Rockwell"/>
          <w:sz w:val="24"/>
          <w:szCs w:val="24"/>
        </w:rPr>
        <w:t>he following inf</w:t>
      </w:r>
      <w:r w:rsidR="00671E67">
        <w:rPr>
          <w:rFonts w:ascii="Rockwell" w:hAnsi="Rockwell" w:cs="Rockwell"/>
          <w:sz w:val="24"/>
          <w:szCs w:val="24"/>
        </w:rPr>
        <w:t xml:space="preserve">ormation </w:t>
      </w:r>
      <w:r w:rsidR="0052152E">
        <w:rPr>
          <w:rFonts w:ascii="Rockwell" w:hAnsi="Rockwell" w:cs="Rockwell"/>
          <w:sz w:val="24"/>
          <w:szCs w:val="24"/>
        </w:rPr>
        <w:t xml:space="preserve">must be provided in the description </w:t>
      </w:r>
      <w:r w:rsidR="00671E67">
        <w:rPr>
          <w:rFonts w:ascii="Rockwell" w:hAnsi="Rockwell" w:cs="Rockwell"/>
          <w:sz w:val="24"/>
          <w:szCs w:val="24"/>
        </w:rPr>
        <w:t>but not limited to</w:t>
      </w:r>
      <w:r w:rsidR="00757A0E">
        <w:rPr>
          <w:rFonts w:ascii="Rockwell" w:hAnsi="Rockwell" w:cs="Rockwell"/>
          <w:sz w:val="24"/>
          <w:szCs w:val="24"/>
        </w:rPr>
        <w:t>:</w:t>
      </w:r>
    </w:p>
    <w:p w:rsidR="00CE5995" w:rsidRDefault="00D37047" w:rsidP="00757A0E">
      <w:pPr>
        <w:pStyle w:val="ListParagraph"/>
        <w:numPr>
          <w:ilvl w:val="0"/>
          <w:numId w:val="16"/>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Land ownership including occupancy, mining tenure, postal and site address, and contact details; </w:t>
      </w:r>
    </w:p>
    <w:p w:rsidR="00CE5995" w:rsidRDefault="00D37047" w:rsidP="00757A0E">
      <w:pPr>
        <w:pStyle w:val="ListParagraph"/>
        <w:numPr>
          <w:ilvl w:val="0"/>
          <w:numId w:val="16"/>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Location of the operation, including a list of all relevant tenements and maps showing tenement boundaries, nearby sensitive receptors and the location of the mine in relation to the local and regional setting; </w:t>
      </w:r>
    </w:p>
    <w:p w:rsidR="00CE5995" w:rsidRDefault="00D37047" w:rsidP="00757A0E">
      <w:pPr>
        <w:pStyle w:val="ListParagraph"/>
        <w:numPr>
          <w:ilvl w:val="0"/>
          <w:numId w:val="16"/>
        </w:numPr>
        <w:tabs>
          <w:tab w:val="left" w:pos="420"/>
        </w:tabs>
        <w:spacing w:line="360" w:lineRule="auto"/>
        <w:jc w:val="both"/>
        <w:rPr>
          <w:rFonts w:ascii="Rockwell" w:hAnsi="Rockwell" w:cs="Rockwell"/>
          <w:sz w:val="24"/>
          <w:szCs w:val="24"/>
        </w:rPr>
      </w:pPr>
      <w:r>
        <w:rPr>
          <w:rFonts w:ascii="Rockwell" w:hAnsi="Rockwell" w:cs="Rockwell"/>
          <w:sz w:val="24"/>
          <w:szCs w:val="24"/>
        </w:rPr>
        <w:t>An overview of the operations with a</w:t>
      </w:r>
      <w:r>
        <w:rPr>
          <w:rFonts w:ascii="Rockwell" w:hAnsi="Rockwell" w:cs="Rockwell"/>
          <w:sz w:val="24"/>
          <w:szCs w:val="24"/>
        </w:rPr>
        <w:tab/>
        <w:t xml:space="preserve">description of the major mine components; and </w:t>
      </w:r>
      <w:r>
        <w:rPr>
          <w:rFonts w:ascii="Rockwell" w:hAnsi="Rockwell" w:cs="Rockwell"/>
          <w:sz w:val="24"/>
          <w:szCs w:val="24"/>
          <w:lang w:val="en-GB"/>
        </w:rPr>
        <w:t xml:space="preserve">a </w:t>
      </w:r>
      <w:r>
        <w:rPr>
          <w:rFonts w:ascii="Rockwell" w:hAnsi="Rockwell" w:cs="Rockwell"/>
          <w:sz w:val="24"/>
          <w:szCs w:val="24"/>
        </w:rPr>
        <w:t xml:space="preserve">figure showing the mine site layout and identifying all disturbed areas; </w:t>
      </w:r>
    </w:p>
    <w:p w:rsidR="00CE5995" w:rsidRDefault="00D37047" w:rsidP="00757A0E">
      <w:pPr>
        <w:pStyle w:val="ListParagraph"/>
        <w:numPr>
          <w:ilvl w:val="0"/>
          <w:numId w:val="16"/>
        </w:numPr>
        <w:tabs>
          <w:tab w:val="left" w:pos="420"/>
        </w:tabs>
        <w:spacing w:line="360" w:lineRule="auto"/>
        <w:jc w:val="both"/>
        <w:rPr>
          <w:rFonts w:ascii="Rockwell" w:hAnsi="Rockwell" w:cs="Rockwell"/>
          <w:sz w:val="24"/>
          <w:szCs w:val="24"/>
        </w:rPr>
      </w:pPr>
      <w:r>
        <w:rPr>
          <w:rFonts w:ascii="Rockwell" w:hAnsi="Rockwell" w:cs="Rockwell"/>
          <w:b/>
          <w:bCs/>
          <w:sz w:val="24"/>
          <w:szCs w:val="24"/>
        </w:rPr>
        <w:t>Geology</w:t>
      </w:r>
      <w:r>
        <w:rPr>
          <w:rFonts w:ascii="Rockwell" w:hAnsi="Rockwell" w:cs="Rockwell"/>
          <w:sz w:val="24"/>
          <w:szCs w:val="24"/>
        </w:rPr>
        <w:t xml:space="preserve">: Briefly describe the topography and general geology indicating rock types available, the chemical constituents of the rocks / minerals including toxic elements if any, at the mine site; </w:t>
      </w:r>
    </w:p>
    <w:p w:rsidR="00CE5995" w:rsidRDefault="00D37047" w:rsidP="00757A0E">
      <w:pPr>
        <w:pStyle w:val="ListParagraph"/>
        <w:numPr>
          <w:ilvl w:val="0"/>
          <w:numId w:val="16"/>
        </w:numPr>
        <w:tabs>
          <w:tab w:val="left" w:pos="420"/>
        </w:tabs>
        <w:spacing w:line="360" w:lineRule="auto"/>
        <w:jc w:val="both"/>
        <w:rPr>
          <w:rFonts w:ascii="Rockwell" w:hAnsi="Rockwell" w:cs="Rockwell"/>
          <w:sz w:val="24"/>
          <w:szCs w:val="24"/>
        </w:rPr>
      </w:pPr>
      <w:r>
        <w:rPr>
          <w:rFonts w:ascii="Rockwell" w:hAnsi="Rockwell" w:cs="Rockwell"/>
          <w:b/>
          <w:bCs/>
          <w:sz w:val="24"/>
          <w:szCs w:val="24"/>
        </w:rPr>
        <w:t>Reserves</w:t>
      </w:r>
      <w:r>
        <w:rPr>
          <w:rFonts w:ascii="Rockwell" w:hAnsi="Rockwell" w:cs="Rockwell"/>
          <w:sz w:val="24"/>
          <w:szCs w:val="24"/>
        </w:rPr>
        <w:t xml:space="preserve">: Indicate the </w:t>
      </w:r>
      <w:r>
        <w:rPr>
          <w:rFonts w:ascii="Rockwell" w:hAnsi="Rockwell" w:cs="Rockwell"/>
          <w:sz w:val="24"/>
          <w:szCs w:val="24"/>
          <w:lang w:val="en-GB"/>
        </w:rPr>
        <w:t xml:space="preserve">types of the </w:t>
      </w:r>
      <w:r>
        <w:rPr>
          <w:rFonts w:ascii="Rockwell" w:hAnsi="Rockwell" w:cs="Rockwell"/>
          <w:sz w:val="24"/>
          <w:szCs w:val="24"/>
        </w:rPr>
        <w:t xml:space="preserve">mineral reserves available in the lease area estimated in the last mining plan / mining scheme approved along with the balance mineral reserves at the proposed mine closure including its quality available (for final mine closure plan only); </w:t>
      </w:r>
    </w:p>
    <w:p w:rsidR="00CE5995" w:rsidRDefault="00D37047" w:rsidP="00757A0E">
      <w:pPr>
        <w:pStyle w:val="ListParagraph"/>
        <w:numPr>
          <w:ilvl w:val="0"/>
          <w:numId w:val="16"/>
        </w:numPr>
        <w:tabs>
          <w:tab w:val="left" w:pos="420"/>
        </w:tabs>
        <w:spacing w:line="360" w:lineRule="auto"/>
        <w:jc w:val="both"/>
        <w:rPr>
          <w:rFonts w:ascii="Rockwell" w:hAnsi="Rockwell" w:cs="Rockwell"/>
          <w:sz w:val="24"/>
          <w:szCs w:val="24"/>
        </w:rPr>
      </w:pPr>
      <w:r>
        <w:rPr>
          <w:rFonts w:ascii="Rockwell" w:hAnsi="Rockwell" w:cs="Rockwell"/>
          <w:b/>
          <w:bCs/>
          <w:sz w:val="24"/>
          <w:szCs w:val="24"/>
        </w:rPr>
        <w:t>Mining Method</w:t>
      </w:r>
      <w:r>
        <w:rPr>
          <w:rFonts w:ascii="Rockwell" w:hAnsi="Rockwell" w:cs="Rockwell"/>
          <w:sz w:val="24"/>
          <w:szCs w:val="24"/>
        </w:rPr>
        <w:t xml:space="preserve">: Describe in brief the mining method followed to win the mineral, extent of mechanization, mining machinery deployed, </w:t>
      </w:r>
      <w:r w:rsidR="00DB1CB6">
        <w:rPr>
          <w:rFonts w:ascii="Rockwell" w:hAnsi="Rockwell" w:cs="Rockwell"/>
          <w:sz w:val="24"/>
          <w:szCs w:val="24"/>
        </w:rPr>
        <w:t xml:space="preserve">auxiliary </w:t>
      </w:r>
      <w:r w:rsidR="00DB1CB6">
        <w:rPr>
          <w:rFonts w:ascii="Rockwell" w:hAnsi="Rockwell" w:cs="Rockwell"/>
          <w:sz w:val="24"/>
          <w:szCs w:val="24"/>
        </w:rPr>
        <w:lastRenderedPageBreak/>
        <w:t xml:space="preserve">equipment, </w:t>
      </w:r>
      <w:r>
        <w:rPr>
          <w:rFonts w:ascii="Rockwell" w:hAnsi="Rockwell" w:cs="Rockwell"/>
          <w:sz w:val="24"/>
          <w:szCs w:val="24"/>
        </w:rPr>
        <w:t>production level</w:t>
      </w:r>
      <w:r w:rsidR="0052152E">
        <w:rPr>
          <w:rFonts w:ascii="Rockwell" w:hAnsi="Rockwell" w:cs="Rockwell"/>
          <w:sz w:val="24"/>
          <w:szCs w:val="24"/>
        </w:rPr>
        <w:t xml:space="preserve">, chemicals </w:t>
      </w:r>
      <w:r w:rsidR="00671E67">
        <w:rPr>
          <w:rFonts w:ascii="Rockwell" w:hAnsi="Rockwell" w:cs="Rockwell"/>
          <w:sz w:val="24"/>
          <w:szCs w:val="24"/>
        </w:rPr>
        <w:t>among others</w:t>
      </w:r>
      <w:r>
        <w:rPr>
          <w:rFonts w:ascii="Rockwell" w:hAnsi="Rockwell" w:cs="Rockwell"/>
          <w:sz w:val="24"/>
          <w:szCs w:val="24"/>
        </w:rPr>
        <w:t xml:space="preserve">; </w:t>
      </w:r>
    </w:p>
    <w:p w:rsidR="00CE5995" w:rsidRDefault="00D37047" w:rsidP="00757A0E">
      <w:pPr>
        <w:pStyle w:val="ListParagraph"/>
        <w:numPr>
          <w:ilvl w:val="0"/>
          <w:numId w:val="16"/>
        </w:numPr>
        <w:tabs>
          <w:tab w:val="left" w:pos="420"/>
        </w:tabs>
        <w:spacing w:line="360" w:lineRule="auto"/>
        <w:jc w:val="both"/>
        <w:rPr>
          <w:rFonts w:ascii="Rockwell" w:hAnsi="Rockwell" w:cs="Rockwell"/>
          <w:sz w:val="24"/>
          <w:szCs w:val="24"/>
        </w:rPr>
      </w:pPr>
      <w:r w:rsidRPr="00671E67">
        <w:rPr>
          <w:rFonts w:ascii="Rockwell" w:hAnsi="Rockwell" w:cs="Rockwell"/>
          <w:b/>
          <w:bCs/>
          <w:sz w:val="24"/>
          <w:szCs w:val="24"/>
        </w:rPr>
        <w:t>Mineral Beneficiation</w:t>
      </w:r>
      <w:r w:rsidRPr="00671E67">
        <w:rPr>
          <w:rFonts w:ascii="Rockwell" w:hAnsi="Rockwell" w:cs="Rockwell"/>
          <w:b/>
          <w:sz w:val="24"/>
          <w:szCs w:val="24"/>
        </w:rPr>
        <w:t>:</w:t>
      </w:r>
      <w:r>
        <w:rPr>
          <w:rFonts w:ascii="Rockwell" w:hAnsi="Rockwell" w:cs="Rockwell"/>
          <w:sz w:val="24"/>
          <w:szCs w:val="24"/>
        </w:rPr>
        <w:t xml:space="preserve"> Describe in brief the mineral beneficiation practice if any indicating the process description</w:t>
      </w:r>
      <w:r w:rsidR="00757A0E">
        <w:rPr>
          <w:rFonts w:ascii="Rockwell" w:hAnsi="Rockwell" w:cs="Rockwell"/>
          <w:sz w:val="24"/>
          <w:szCs w:val="24"/>
        </w:rPr>
        <w:t>; and</w:t>
      </w:r>
    </w:p>
    <w:p w:rsidR="007B421F" w:rsidRPr="00DB1CB6" w:rsidRDefault="00D37047" w:rsidP="00757A0E">
      <w:pPr>
        <w:pStyle w:val="ListParagraph"/>
        <w:numPr>
          <w:ilvl w:val="0"/>
          <w:numId w:val="16"/>
        </w:numPr>
        <w:tabs>
          <w:tab w:val="left" w:pos="420"/>
        </w:tabs>
        <w:spacing w:line="360" w:lineRule="auto"/>
        <w:jc w:val="both"/>
        <w:rPr>
          <w:rFonts w:ascii="Rockwell" w:hAnsi="Rockwell" w:cs="Rockwell"/>
          <w:sz w:val="24"/>
          <w:szCs w:val="24"/>
        </w:rPr>
      </w:pPr>
      <w:r>
        <w:rPr>
          <w:rFonts w:ascii="Rockwell" w:hAnsi="Rockwell" w:cs="Rockwell"/>
          <w:sz w:val="24"/>
          <w:szCs w:val="24"/>
        </w:rPr>
        <w:t>Indicate di</w:t>
      </w:r>
      <w:r w:rsidR="00DB1CB6">
        <w:rPr>
          <w:rFonts w:ascii="Rockwell" w:hAnsi="Rockwell" w:cs="Rockwell"/>
          <w:sz w:val="24"/>
          <w:szCs w:val="24"/>
        </w:rPr>
        <w:t>scharge details of any tailings/middling’s and their disposal</w:t>
      </w:r>
      <w:r w:rsidR="007B421F">
        <w:rPr>
          <w:rFonts w:ascii="Rockwell" w:hAnsi="Rockwell" w:cs="Rockwell"/>
          <w:sz w:val="24"/>
          <w:szCs w:val="24"/>
        </w:rPr>
        <w:t>/</w:t>
      </w:r>
      <w:r w:rsidR="00DB1CB6">
        <w:rPr>
          <w:rFonts w:ascii="Rockwell" w:hAnsi="Rockwell" w:cs="Rockwell"/>
          <w:sz w:val="24"/>
          <w:szCs w:val="24"/>
        </w:rPr>
        <w:t>utilization practice followed</w:t>
      </w:r>
      <w:r w:rsidR="007B421F">
        <w:rPr>
          <w:rFonts w:ascii="Rockwell" w:hAnsi="Rockwell" w:cs="Rockwell"/>
          <w:sz w:val="24"/>
          <w:szCs w:val="24"/>
        </w:rPr>
        <w:t xml:space="preserve"> an</w:t>
      </w:r>
      <w:r w:rsidR="00DB1CB6">
        <w:rPr>
          <w:rFonts w:ascii="Rockwell" w:hAnsi="Rockwell" w:cs="Rockwell"/>
          <w:sz w:val="24"/>
          <w:szCs w:val="24"/>
        </w:rPr>
        <w:t>d m</w:t>
      </w:r>
      <w:r w:rsidR="007B421F" w:rsidRPr="00DB1CB6">
        <w:rPr>
          <w:rFonts w:ascii="Rockwell" w:hAnsi="Rockwell" w:cs="Rockwell"/>
          <w:sz w:val="24"/>
          <w:szCs w:val="24"/>
        </w:rPr>
        <w:t>anagement of overburden</w:t>
      </w:r>
      <w:r w:rsidR="00757A0E">
        <w:rPr>
          <w:rFonts w:ascii="Rockwell" w:hAnsi="Rockwell" w:cs="Rockwell"/>
          <w:sz w:val="24"/>
          <w:szCs w:val="24"/>
        </w:rPr>
        <w:t>.</w:t>
      </w:r>
    </w:p>
    <w:p w:rsidR="00DB1CB6" w:rsidRPr="00DB1CB6" w:rsidRDefault="00DB1CB6" w:rsidP="00DB1CB6">
      <w:pPr>
        <w:tabs>
          <w:tab w:val="left" w:pos="420"/>
        </w:tabs>
        <w:spacing w:line="360" w:lineRule="auto"/>
        <w:jc w:val="both"/>
        <w:rPr>
          <w:rFonts w:ascii="Rockwell" w:hAnsi="Rockwell" w:cs="Rockwell"/>
          <w:sz w:val="24"/>
          <w:szCs w:val="24"/>
        </w:rPr>
      </w:pPr>
    </w:p>
    <w:p w:rsidR="00CE5995" w:rsidRDefault="00BB42DC">
      <w:pPr>
        <w:numPr>
          <w:ilvl w:val="255"/>
          <w:numId w:val="0"/>
        </w:numPr>
        <w:spacing w:line="360" w:lineRule="auto"/>
        <w:ind w:left="360"/>
        <w:jc w:val="both"/>
        <w:outlineLvl w:val="0"/>
        <w:rPr>
          <w:rFonts w:ascii="Rockwell" w:hAnsi="Rockwell" w:cs="Rockwell"/>
          <w:b/>
          <w:sz w:val="24"/>
          <w:szCs w:val="24"/>
        </w:rPr>
      </w:pPr>
      <w:bookmarkStart w:id="105" w:name="_Toc31325"/>
      <w:bookmarkStart w:id="106" w:name="_Toc23343"/>
      <w:bookmarkStart w:id="107" w:name="_Toc8369"/>
      <w:r>
        <w:rPr>
          <w:rFonts w:ascii="Rockwell" w:hAnsi="Rockwell" w:cs="Rockwell"/>
          <w:b/>
          <w:sz w:val="24"/>
          <w:szCs w:val="24"/>
        </w:rPr>
        <w:t xml:space="preserve">3.2 </w:t>
      </w:r>
      <w:r w:rsidR="00D37047">
        <w:rPr>
          <w:rFonts w:ascii="Rockwell" w:hAnsi="Rockwell" w:cs="Rockwell"/>
          <w:b/>
          <w:sz w:val="24"/>
          <w:szCs w:val="24"/>
        </w:rPr>
        <w:t xml:space="preserve">Key </w:t>
      </w:r>
      <w:r w:rsidR="0052152E">
        <w:rPr>
          <w:rFonts w:ascii="Rockwell" w:hAnsi="Rockwell" w:cs="Rockwell"/>
          <w:b/>
          <w:sz w:val="24"/>
          <w:szCs w:val="24"/>
        </w:rPr>
        <w:t xml:space="preserve">Issues </w:t>
      </w:r>
      <w:r w:rsidR="00D37047">
        <w:rPr>
          <w:rFonts w:ascii="Rockwell" w:hAnsi="Rockwell" w:cs="Rockwell"/>
          <w:b/>
          <w:sz w:val="24"/>
          <w:szCs w:val="24"/>
        </w:rPr>
        <w:t xml:space="preserve">in the </w:t>
      </w:r>
      <w:r w:rsidR="0052152E">
        <w:rPr>
          <w:rFonts w:ascii="Rockwell" w:hAnsi="Rockwell" w:cs="Rockwell"/>
          <w:b/>
          <w:sz w:val="24"/>
          <w:szCs w:val="24"/>
        </w:rPr>
        <w:t xml:space="preserve">Mine Site Decommissioning </w:t>
      </w:r>
      <w:r w:rsidR="00D37047">
        <w:rPr>
          <w:rFonts w:ascii="Rockwell" w:hAnsi="Rockwell" w:cs="Rockwell"/>
          <w:b/>
          <w:sz w:val="24"/>
          <w:szCs w:val="24"/>
          <w:lang w:val="en-GB"/>
        </w:rPr>
        <w:t xml:space="preserve">and </w:t>
      </w:r>
      <w:r w:rsidR="0052152E">
        <w:rPr>
          <w:rFonts w:ascii="Rockwell" w:hAnsi="Rockwell" w:cs="Rockwell"/>
          <w:b/>
          <w:sz w:val="24"/>
          <w:szCs w:val="24"/>
          <w:lang w:val="en-GB"/>
        </w:rPr>
        <w:t xml:space="preserve">Rehabilitation </w:t>
      </w:r>
      <w:r w:rsidR="0052152E">
        <w:rPr>
          <w:rFonts w:ascii="Rockwell" w:hAnsi="Rockwell" w:cs="Rockwell"/>
          <w:b/>
          <w:sz w:val="24"/>
          <w:szCs w:val="24"/>
        </w:rPr>
        <w:t>Plan</w:t>
      </w:r>
      <w:bookmarkEnd w:id="105"/>
      <w:bookmarkEnd w:id="106"/>
      <w:bookmarkEnd w:id="107"/>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Planning for mine closure involves consideration of a number of often complex issues including technical, legal, financial and socio-economic aspects. The focus here is on the technical issues that relate to environmental degradation caused by the mining and its subsequent restoration. </w:t>
      </w:r>
    </w:p>
    <w:p w:rsidR="00197AFF" w:rsidRDefault="00197AFF">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Below is a list of key mine site decommissioning and rehabilitation parameters and </w:t>
      </w:r>
      <w:proofErr w:type="spellStart"/>
      <w:r>
        <w:rPr>
          <w:rFonts w:ascii="Rockwell" w:hAnsi="Rockwell" w:cs="Rockwell"/>
          <w:sz w:val="24"/>
          <w:szCs w:val="24"/>
        </w:rPr>
        <w:t>monitorable</w:t>
      </w:r>
      <w:proofErr w:type="spellEnd"/>
      <w:r>
        <w:rPr>
          <w:rFonts w:ascii="Rockwell" w:hAnsi="Rockwell" w:cs="Rockwell"/>
          <w:sz w:val="24"/>
          <w:szCs w:val="24"/>
        </w:rPr>
        <w:t xml:space="preserve"> in</w:t>
      </w:r>
      <w:r w:rsidR="009A2432">
        <w:rPr>
          <w:rFonts w:ascii="Rockwell" w:hAnsi="Rockwell" w:cs="Rockwell"/>
          <w:sz w:val="24"/>
          <w:szCs w:val="24"/>
        </w:rPr>
        <w:t>dicators to be addressed but not</w:t>
      </w:r>
      <w:r>
        <w:rPr>
          <w:rFonts w:ascii="Rockwell" w:hAnsi="Rockwell" w:cs="Rockwell"/>
          <w:sz w:val="24"/>
          <w:szCs w:val="24"/>
        </w:rPr>
        <w:t xml:space="preserve"> limited to; </w:t>
      </w:r>
    </w:p>
    <w:p w:rsidR="00CE5995" w:rsidRDefault="00CE5995">
      <w:pPr>
        <w:spacing w:line="360" w:lineRule="auto"/>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108" w:name="_Toc30610"/>
      <w:bookmarkStart w:id="109" w:name="_Toc15830"/>
      <w:bookmarkStart w:id="110" w:name="_Toc2150"/>
      <w:r>
        <w:rPr>
          <w:rFonts w:ascii="Rockwell" w:hAnsi="Rockwell" w:cs="Rockwell"/>
          <w:b/>
          <w:sz w:val="24"/>
          <w:szCs w:val="24"/>
        </w:rPr>
        <w:t>3.2.1 Water Quality and Quantity:</w:t>
      </w:r>
      <w:bookmarkEnd w:id="108"/>
      <w:bookmarkEnd w:id="109"/>
      <w:bookmarkEnd w:id="110"/>
    </w:p>
    <w:p w:rsidR="00CE5995" w:rsidRDefault="00D37047" w:rsidP="00197AFF">
      <w:pPr>
        <w:pStyle w:val="ListParagraph"/>
        <w:numPr>
          <w:ilvl w:val="0"/>
          <w:numId w:val="17"/>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Reference should be made to the baseline water quality and quantity status prior to the mining operations. </w:t>
      </w:r>
    </w:p>
    <w:p w:rsidR="00CE5995" w:rsidRDefault="00D37047" w:rsidP="00197AFF">
      <w:pPr>
        <w:pStyle w:val="ListParagraph"/>
        <w:numPr>
          <w:ilvl w:val="0"/>
          <w:numId w:val="17"/>
        </w:numPr>
        <w:tabs>
          <w:tab w:val="left" w:pos="420"/>
        </w:tabs>
        <w:spacing w:line="360" w:lineRule="auto"/>
        <w:jc w:val="both"/>
        <w:rPr>
          <w:rFonts w:ascii="Rockwell" w:hAnsi="Rockwell" w:cs="Rockwell"/>
          <w:sz w:val="24"/>
          <w:szCs w:val="24"/>
        </w:rPr>
      </w:pPr>
      <w:r>
        <w:rPr>
          <w:rFonts w:ascii="Rockwell" w:hAnsi="Rockwell" w:cs="Rockwell"/>
          <w:sz w:val="24"/>
          <w:szCs w:val="24"/>
        </w:rPr>
        <w:t>Describe in detail the existing surface and ground water bodies available in the mining areas and the measures to be taken for</w:t>
      </w:r>
      <w:r w:rsidR="0052152E">
        <w:rPr>
          <w:rFonts w:ascii="Rockwell" w:hAnsi="Rockwell" w:cs="Rockwell"/>
          <w:sz w:val="24"/>
          <w:szCs w:val="24"/>
        </w:rPr>
        <w:t xml:space="preserve"> protection of the same. These </w:t>
      </w:r>
      <w:r>
        <w:rPr>
          <w:rFonts w:ascii="Rockwell" w:hAnsi="Rockwell" w:cs="Rockwell"/>
          <w:sz w:val="24"/>
          <w:szCs w:val="24"/>
        </w:rPr>
        <w:t>should include control of erosion, sedimentation, siltation, water treatment, diversion of water courses. Additionally, measures for protection of contaminated ground and surface water in particular considering leach pads, waste facilities with sulfidic mine waste, collection ponds or any material containing chemical products or contaminated water, sediments, soils or waste.</w:t>
      </w:r>
    </w:p>
    <w:p w:rsidR="00CE5995" w:rsidRDefault="00D37047" w:rsidP="00197AFF">
      <w:pPr>
        <w:pStyle w:val="ListParagraph"/>
        <w:numPr>
          <w:ilvl w:val="0"/>
          <w:numId w:val="17"/>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Quantity and quality of surface water bodies should also be indicated and corrective measures proposed to meet the water quality standards. </w:t>
      </w:r>
    </w:p>
    <w:p w:rsidR="00CE5995" w:rsidRDefault="00D37047" w:rsidP="00197AFF">
      <w:pPr>
        <w:pStyle w:val="ListParagraph"/>
        <w:numPr>
          <w:ilvl w:val="0"/>
          <w:numId w:val="17"/>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Report of hydrological study carried out in the area may also be submitted. </w:t>
      </w:r>
    </w:p>
    <w:p w:rsidR="00CE5995" w:rsidRDefault="00D37047" w:rsidP="00197AFF">
      <w:pPr>
        <w:pStyle w:val="ListParagraph"/>
        <w:numPr>
          <w:ilvl w:val="0"/>
          <w:numId w:val="17"/>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The water balance chart should be given. </w:t>
      </w:r>
    </w:p>
    <w:p w:rsidR="00CE5995" w:rsidRDefault="00D37047" w:rsidP="00197AFF">
      <w:pPr>
        <w:pStyle w:val="ListParagraph"/>
        <w:numPr>
          <w:ilvl w:val="0"/>
          <w:numId w:val="17"/>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If there is potential of acid mine drainage the method of prevention and </w:t>
      </w:r>
      <w:r>
        <w:rPr>
          <w:rFonts w:ascii="Rockwell" w:hAnsi="Rockwell" w:cs="Rockwell"/>
          <w:sz w:val="24"/>
          <w:szCs w:val="24"/>
        </w:rPr>
        <w:lastRenderedPageBreak/>
        <w:t>treatment should be given.</w:t>
      </w:r>
    </w:p>
    <w:p w:rsidR="009A2432" w:rsidRDefault="009A2432" w:rsidP="00197AFF">
      <w:pPr>
        <w:pStyle w:val="ListParagraph"/>
        <w:numPr>
          <w:ilvl w:val="0"/>
          <w:numId w:val="17"/>
        </w:numPr>
        <w:tabs>
          <w:tab w:val="left" w:pos="420"/>
        </w:tabs>
        <w:spacing w:line="360" w:lineRule="auto"/>
        <w:jc w:val="both"/>
        <w:rPr>
          <w:rFonts w:ascii="Rockwell" w:hAnsi="Rockwell" w:cs="Rockwell"/>
          <w:sz w:val="24"/>
          <w:szCs w:val="24"/>
        </w:rPr>
      </w:pPr>
      <w:r>
        <w:rPr>
          <w:rFonts w:ascii="Rockwell" w:hAnsi="Rockwell" w:cs="Rockwell"/>
          <w:sz w:val="24"/>
          <w:szCs w:val="24"/>
        </w:rPr>
        <w:t>Sampling and analysis of the applicable parameters</w:t>
      </w:r>
      <w:r w:rsidR="00A27C20">
        <w:rPr>
          <w:rFonts w:ascii="Rockwell" w:hAnsi="Rockwell" w:cs="Rockwell"/>
          <w:sz w:val="24"/>
          <w:szCs w:val="24"/>
        </w:rPr>
        <w:t xml:space="preserve"> such as heavy metals, PH, total hardness, calcium hardness, magnesium hardness, chlorides, sulfates and total dissolved solids, grease, Total </w:t>
      </w:r>
      <w:proofErr w:type="spellStart"/>
      <w:r w:rsidR="00A27C20">
        <w:rPr>
          <w:rFonts w:ascii="Rockwell" w:hAnsi="Rockwell" w:cs="Rockwell"/>
          <w:sz w:val="24"/>
          <w:szCs w:val="24"/>
        </w:rPr>
        <w:t>P</w:t>
      </w:r>
      <w:r w:rsidR="002026A7">
        <w:rPr>
          <w:rFonts w:ascii="Rockwell" w:hAnsi="Rockwell" w:cs="Rockwell"/>
          <w:sz w:val="24"/>
          <w:szCs w:val="24"/>
        </w:rPr>
        <w:t>olyaromatic</w:t>
      </w:r>
      <w:proofErr w:type="spellEnd"/>
      <w:r w:rsidR="00A27C20">
        <w:rPr>
          <w:rFonts w:ascii="Rockwell" w:hAnsi="Rockwell" w:cs="Rockwell"/>
          <w:sz w:val="24"/>
          <w:szCs w:val="24"/>
        </w:rPr>
        <w:t xml:space="preserve"> Hydrocarbons (TPH), Benzene, </w:t>
      </w:r>
      <w:r w:rsidR="007E4B50">
        <w:rPr>
          <w:rFonts w:ascii="Rockwell" w:hAnsi="Rockwell" w:cs="Rockwell"/>
          <w:sz w:val="24"/>
          <w:szCs w:val="24"/>
        </w:rPr>
        <w:t>Toluene</w:t>
      </w:r>
      <w:r w:rsidR="0052152E">
        <w:rPr>
          <w:rFonts w:ascii="Rockwell" w:hAnsi="Rockwell" w:cs="Rockwell"/>
          <w:sz w:val="24"/>
          <w:szCs w:val="24"/>
        </w:rPr>
        <w:t xml:space="preserve">, </w:t>
      </w:r>
      <w:r w:rsidR="007E4B50">
        <w:rPr>
          <w:rFonts w:ascii="Rockwell" w:hAnsi="Rockwell" w:cs="Rockwell"/>
          <w:sz w:val="24"/>
          <w:szCs w:val="24"/>
        </w:rPr>
        <w:t>Ethylbenzene</w:t>
      </w:r>
      <w:r w:rsidR="0052152E">
        <w:rPr>
          <w:rFonts w:ascii="Rockwell" w:hAnsi="Rockwell" w:cs="Rockwell"/>
          <w:sz w:val="24"/>
          <w:szCs w:val="24"/>
        </w:rPr>
        <w:t>, Xylene (BTEX)</w:t>
      </w:r>
      <w:r w:rsidR="00A27C20">
        <w:rPr>
          <w:rFonts w:ascii="Rockwell" w:hAnsi="Rockwell" w:cs="Rockwell"/>
          <w:sz w:val="24"/>
          <w:szCs w:val="24"/>
        </w:rPr>
        <w:t xml:space="preserve"> </w:t>
      </w:r>
      <w:r>
        <w:rPr>
          <w:rFonts w:ascii="Rockwell" w:hAnsi="Rockwell" w:cs="Rockwell"/>
          <w:sz w:val="24"/>
          <w:szCs w:val="24"/>
        </w:rPr>
        <w:t>should be considered</w:t>
      </w:r>
      <w:r w:rsidR="00A27C20">
        <w:rPr>
          <w:rFonts w:ascii="Rockwell" w:hAnsi="Rockwell" w:cs="Rockwell"/>
          <w:sz w:val="24"/>
          <w:szCs w:val="24"/>
        </w:rPr>
        <w:t xml:space="preserve"> among others</w:t>
      </w:r>
      <w:r>
        <w:rPr>
          <w:rFonts w:ascii="Rockwell" w:hAnsi="Rockwell" w:cs="Rockwell"/>
          <w:sz w:val="24"/>
          <w:szCs w:val="24"/>
        </w:rPr>
        <w:t>.</w:t>
      </w:r>
    </w:p>
    <w:p w:rsidR="00CE5995" w:rsidRDefault="00CE5995">
      <w:pPr>
        <w:pStyle w:val="ListParagraph"/>
        <w:numPr>
          <w:ilvl w:val="255"/>
          <w:numId w:val="0"/>
        </w:numPr>
        <w:spacing w:line="360" w:lineRule="auto"/>
        <w:ind w:left="360"/>
        <w:jc w:val="both"/>
        <w:rPr>
          <w:rFonts w:ascii="Rockwell" w:hAnsi="Rockwell" w:cs="Rockwell"/>
          <w:b/>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sz w:val="24"/>
          <w:szCs w:val="24"/>
        </w:rPr>
      </w:pPr>
      <w:bookmarkStart w:id="111" w:name="_Toc21243"/>
      <w:bookmarkStart w:id="112" w:name="_Toc10475"/>
      <w:bookmarkStart w:id="113" w:name="_Toc7767"/>
      <w:r>
        <w:rPr>
          <w:rFonts w:ascii="Rockwell" w:hAnsi="Rockwell" w:cs="Rockwell"/>
          <w:b/>
          <w:sz w:val="24"/>
          <w:szCs w:val="24"/>
        </w:rPr>
        <w:t>3.2.2 Air Quality:</w:t>
      </w:r>
      <w:bookmarkEnd w:id="111"/>
      <w:bookmarkEnd w:id="112"/>
      <w:bookmarkEnd w:id="113"/>
      <w:r>
        <w:rPr>
          <w:rFonts w:ascii="Rockwell" w:hAnsi="Rockwell" w:cs="Rockwell"/>
          <w:sz w:val="24"/>
          <w:szCs w:val="24"/>
        </w:rPr>
        <w:t xml:space="preserve"> </w:t>
      </w:r>
    </w:p>
    <w:p w:rsidR="00CE5995" w:rsidRDefault="00D37047" w:rsidP="00197AFF">
      <w:pPr>
        <w:pStyle w:val="ListParagraph"/>
        <w:numPr>
          <w:ilvl w:val="0"/>
          <w:numId w:val="18"/>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Reference should be made to the baseline air quality status prior to the mining operations. </w:t>
      </w:r>
    </w:p>
    <w:p w:rsidR="00CE5995" w:rsidRDefault="00D37047" w:rsidP="00197AFF">
      <w:pPr>
        <w:pStyle w:val="ListParagraph"/>
        <w:numPr>
          <w:ilvl w:val="0"/>
          <w:numId w:val="18"/>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Describe the existing air quality status covering the gaseous emissions and particulate matter among others. </w:t>
      </w:r>
    </w:p>
    <w:p w:rsidR="00CE5995" w:rsidRDefault="00D37047" w:rsidP="00197AFF">
      <w:pPr>
        <w:pStyle w:val="ListParagraph"/>
        <w:numPr>
          <w:ilvl w:val="0"/>
          <w:numId w:val="18"/>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The corrective measures to be taken for prevention of air pollution should be described. </w:t>
      </w:r>
    </w:p>
    <w:p w:rsidR="00CE5995" w:rsidRDefault="00D37047" w:rsidP="00197AFF">
      <w:pPr>
        <w:pStyle w:val="ListParagraph"/>
        <w:numPr>
          <w:ilvl w:val="0"/>
          <w:numId w:val="18"/>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Particular consideration should be given to tailings storage facilities or similar where mine waste can be removed and transported by wind. </w:t>
      </w:r>
    </w:p>
    <w:p w:rsidR="00CE5995" w:rsidRDefault="00D37047" w:rsidP="00197AFF">
      <w:pPr>
        <w:pStyle w:val="ListParagraph"/>
        <w:numPr>
          <w:ilvl w:val="0"/>
          <w:numId w:val="18"/>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Analysis should be done to establish the presence of Fibrous (including asbestiform) materials and the safety and management measures put in place to address the same. </w:t>
      </w:r>
    </w:p>
    <w:p w:rsidR="009A2432" w:rsidRDefault="009A2432" w:rsidP="00197AFF">
      <w:pPr>
        <w:pStyle w:val="ListParagraph"/>
        <w:numPr>
          <w:ilvl w:val="0"/>
          <w:numId w:val="18"/>
        </w:numPr>
        <w:tabs>
          <w:tab w:val="left" w:pos="420"/>
        </w:tabs>
        <w:spacing w:line="360" w:lineRule="auto"/>
        <w:jc w:val="both"/>
        <w:rPr>
          <w:rFonts w:ascii="Rockwell" w:hAnsi="Rockwell" w:cs="Rockwell"/>
          <w:sz w:val="24"/>
          <w:szCs w:val="24"/>
        </w:rPr>
      </w:pPr>
      <w:r>
        <w:rPr>
          <w:rFonts w:ascii="Rockwell" w:hAnsi="Rockwell" w:cs="Rockwell"/>
          <w:sz w:val="24"/>
          <w:szCs w:val="24"/>
        </w:rPr>
        <w:t>Sampling and analysis of the applicable parameters</w:t>
      </w:r>
      <w:r w:rsidR="00A27C20">
        <w:rPr>
          <w:rFonts w:ascii="Rockwell" w:hAnsi="Rockwell" w:cs="Rockwell"/>
          <w:sz w:val="24"/>
          <w:szCs w:val="24"/>
        </w:rPr>
        <w:t xml:space="preserve"> such as </w:t>
      </w:r>
      <w:proofErr w:type="spellStart"/>
      <w:r w:rsidR="00A27C20">
        <w:rPr>
          <w:rFonts w:ascii="Rockwell" w:hAnsi="Rockwell" w:cs="Rockwell"/>
          <w:sz w:val="24"/>
          <w:szCs w:val="24"/>
        </w:rPr>
        <w:t>SO</w:t>
      </w:r>
      <w:r w:rsidR="00A27C20" w:rsidRPr="00A27C20">
        <w:rPr>
          <w:rFonts w:ascii="Rockwell" w:hAnsi="Rockwell" w:cs="Rockwell"/>
          <w:sz w:val="24"/>
          <w:szCs w:val="24"/>
          <w:vertAlign w:val="subscript"/>
        </w:rPr>
        <w:t>x</w:t>
      </w:r>
      <w:proofErr w:type="spellEnd"/>
      <w:r w:rsidR="00A27C20">
        <w:rPr>
          <w:rFonts w:ascii="Rockwell" w:hAnsi="Rockwell" w:cs="Rockwell"/>
          <w:sz w:val="24"/>
          <w:szCs w:val="24"/>
        </w:rPr>
        <w:t>, NO</w:t>
      </w:r>
      <w:r w:rsidR="00A27C20" w:rsidRPr="00A27C20">
        <w:rPr>
          <w:rFonts w:ascii="Rockwell" w:hAnsi="Rockwell" w:cs="Rockwell"/>
          <w:sz w:val="24"/>
          <w:szCs w:val="24"/>
          <w:vertAlign w:val="subscript"/>
        </w:rPr>
        <w:t>x</w:t>
      </w:r>
      <w:r w:rsidR="00A27C20">
        <w:rPr>
          <w:rFonts w:ascii="Rockwell" w:hAnsi="Rockwell" w:cs="Rockwell"/>
          <w:sz w:val="24"/>
          <w:szCs w:val="24"/>
        </w:rPr>
        <w:t>, heavy metals, radioactivity, PM</w:t>
      </w:r>
      <w:r w:rsidR="00A27C20" w:rsidRPr="00A27C20">
        <w:rPr>
          <w:rFonts w:ascii="Rockwell" w:hAnsi="Rockwell" w:cs="Rockwell"/>
          <w:sz w:val="24"/>
          <w:szCs w:val="24"/>
          <w:vertAlign w:val="subscript"/>
        </w:rPr>
        <w:t>10</w:t>
      </w:r>
      <w:r w:rsidR="00A27C20">
        <w:rPr>
          <w:rFonts w:ascii="Rockwell" w:hAnsi="Rockwell" w:cs="Rockwell"/>
          <w:sz w:val="24"/>
          <w:szCs w:val="24"/>
        </w:rPr>
        <w:t>, PM</w:t>
      </w:r>
      <w:r w:rsidR="00A27C20" w:rsidRPr="00A27C20">
        <w:rPr>
          <w:rFonts w:ascii="Rockwell" w:hAnsi="Rockwell" w:cs="Rockwell"/>
          <w:sz w:val="24"/>
          <w:szCs w:val="24"/>
          <w:vertAlign w:val="subscript"/>
        </w:rPr>
        <w:t>2.5</w:t>
      </w:r>
      <w:r w:rsidRPr="00A27C20">
        <w:rPr>
          <w:rFonts w:ascii="Rockwell" w:hAnsi="Rockwell" w:cs="Rockwell"/>
          <w:sz w:val="24"/>
          <w:szCs w:val="24"/>
          <w:vertAlign w:val="subscript"/>
        </w:rPr>
        <w:t xml:space="preserve"> </w:t>
      </w:r>
      <w:r>
        <w:rPr>
          <w:rFonts w:ascii="Rockwell" w:hAnsi="Rockwell" w:cs="Rockwell"/>
          <w:sz w:val="24"/>
          <w:szCs w:val="24"/>
        </w:rPr>
        <w:t>should be considered</w:t>
      </w:r>
      <w:r w:rsidR="00A27C20">
        <w:rPr>
          <w:rFonts w:ascii="Rockwell" w:hAnsi="Rockwell" w:cs="Rockwell"/>
          <w:sz w:val="24"/>
          <w:szCs w:val="24"/>
        </w:rPr>
        <w:t xml:space="preserve"> among others</w:t>
      </w:r>
      <w:r>
        <w:rPr>
          <w:rFonts w:ascii="Rockwell" w:hAnsi="Rockwell" w:cs="Rockwell"/>
          <w:sz w:val="24"/>
          <w:szCs w:val="24"/>
        </w:rPr>
        <w:t>.</w:t>
      </w:r>
    </w:p>
    <w:p w:rsidR="009A2432" w:rsidRPr="009A2432" w:rsidRDefault="009A2432" w:rsidP="009A2432">
      <w:pPr>
        <w:tabs>
          <w:tab w:val="left" w:pos="420"/>
        </w:tabs>
        <w:spacing w:line="360" w:lineRule="auto"/>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sz w:val="24"/>
          <w:szCs w:val="24"/>
        </w:rPr>
      </w:pPr>
      <w:bookmarkStart w:id="114" w:name="_Toc30550"/>
      <w:bookmarkStart w:id="115" w:name="_Toc4738"/>
      <w:bookmarkStart w:id="116" w:name="_Toc16324"/>
      <w:r>
        <w:rPr>
          <w:rFonts w:ascii="Rockwell" w:hAnsi="Rockwell" w:cs="Rockwell"/>
          <w:b/>
          <w:sz w:val="24"/>
          <w:szCs w:val="24"/>
        </w:rPr>
        <w:t>3.2.3 Waste Management:</w:t>
      </w:r>
      <w:bookmarkEnd w:id="114"/>
      <w:bookmarkEnd w:id="115"/>
      <w:bookmarkEnd w:id="116"/>
      <w:r>
        <w:rPr>
          <w:rFonts w:ascii="Rockwell" w:hAnsi="Rockwell" w:cs="Rockwell"/>
          <w:sz w:val="24"/>
          <w:szCs w:val="24"/>
        </w:rPr>
        <w:t xml:space="preserve"> </w:t>
      </w:r>
    </w:p>
    <w:p w:rsidR="00CE5995" w:rsidRDefault="00D37047" w:rsidP="00197AFF">
      <w:pPr>
        <w:pStyle w:val="ListParagraph"/>
        <w:numPr>
          <w:ilvl w:val="0"/>
          <w:numId w:val="19"/>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Describe the type, quality and quantity of overburden, waste rock, tailings, mine water, mineral rejects available and their disposal practice. </w:t>
      </w:r>
    </w:p>
    <w:p w:rsidR="00CE5995" w:rsidRDefault="00D37047" w:rsidP="00197AFF">
      <w:pPr>
        <w:pStyle w:val="ListParagraph"/>
        <w:numPr>
          <w:ilvl w:val="0"/>
          <w:numId w:val="19"/>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If no utilization of waste material is proposed, the manner in which the waste material will be stabilized should be described. </w:t>
      </w:r>
    </w:p>
    <w:p w:rsidR="00CE5995" w:rsidRDefault="00D37047" w:rsidP="00197AFF">
      <w:pPr>
        <w:pStyle w:val="ListParagraph"/>
        <w:numPr>
          <w:ilvl w:val="0"/>
          <w:numId w:val="19"/>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The protective measures to be taken for prevention of siltation, erosion and dust generation from these waste materials should also be described. </w:t>
      </w:r>
    </w:p>
    <w:p w:rsidR="00CE5995" w:rsidRDefault="00D37047" w:rsidP="00197AFF">
      <w:pPr>
        <w:pStyle w:val="ListParagraph"/>
        <w:numPr>
          <w:ilvl w:val="0"/>
          <w:numId w:val="19"/>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If toxic and hazardous elements are present in the waste material, the protective measures to be taken for prevention of their dispersal in the air </w:t>
      </w:r>
      <w:r>
        <w:rPr>
          <w:rFonts w:ascii="Rockwell" w:hAnsi="Rockwell" w:cs="Rockwell"/>
          <w:sz w:val="24"/>
          <w:szCs w:val="24"/>
        </w:rPr>
        <w:lastRenderedPageBreak/>
        <w:t>environment, leaching in surface and ground water, in soils and sediments should be described.</w:t>
      </w:r>
    </w:p>
    <w:p w:rsidR="00BA6E0E" w:rsidRDefault="00BA6E0E" w:rsidP="00197AFF">
      <w:pPr>
        <w:pStyle w:val="ListParagraph"/>
        <w:numPr>
          <w:ilvl w:val="0"/>
          <w:numId w:val="19"/>
        </w:numPr>
        <w:tabs>
          <w:tab w:val="left" w:pos="420"/>
        </w:tabs>
        <w:spacing w:line="360" w:lineRule="auto"/>
        <w:jc w:val="both"/>
        <w:rPr>
          <w:rFonts w:ascii="Rockwell" w:hAnsi="Rockwell" w:cs="Rockwell"/>
          <w:sz w:val="24"/>
          <w:szCs w:val="24"/>
        </w:rPr>
      </w:pPr>
      <w:r>
        <w:rPr>
          <w:rFonts w:ascii="Rockwell" w:hAnsi="Rockwell" w:cs="Rockwell"/>
          <w:sz w:val="24"/>
          <w:szCs w:val="24"/>
        </w:rPr>
        <w:t>Sampling and analysis of the applicable parameters should be considered.</w:t>
      </w:r>
    </w:p>
    <w:p w:rsidR="00BA6E0E" w:rsidRDefault="00BA6E0E" w:rsidP="00BA6E0E">
      <w:pPr>
        <w:pStyle w:val="ListParagraph"/>
        <w:tabs>
          <w:tab w:val="left" w:pos="420"/>
        </w:tabs>
        <w:spacing w:line="360" w:lineRule="auto"/>
        <w:ind w:left="420"/>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117" w:name="_Toc5998"/>
      <w:bookmarkStart w:id="118" w:name="_Toc26983"/>
      <w:bookmarkStart w:id="119" w:name="_Toc4716"/>
      <w:r>
        <w:rPr>
          <w:rFonts w:ascii="Rockwell" w:hAnsi="Rockwell" w:cs="Rockwell"/>
          <w:b/>
          <w:sz w:val="24"/>
          <w:szCs w:val="24"/>
        </w:rPr>
        <w:t>3.2.4 Soil Quality:</w:t>
      </w:r>
      <w:bookmarkEnd w:id="117"/>
      <w:bookmarkEnd w:id="118"/>
      <w:bookmarkEnd w:id="119"/>
      <w:r>
        <w:rPr>
          <w:rFonts w:ascii="Rockwell" w:hAnsi="Rockwell" w:cs="Rockwell"/>
          <w:b/>
          <w:sz w:val="24"/>
          <w:szCs w:val="24"/>
        </w:rPr>
        <w:t xml:space="preserve"> </w:t>
      </w:r>
    </w:p>
    <w:p w:rsidR="00CE5995" w:rsidRDefault="00D37047" w:rsidP="00197AFF">
      <w:pPr>
        <w:pStyle w:val="ListParagraph"/>
        <w:numPr>
          <w:ilvl w:val="0"/>
          <w:numId w:val="20"/>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Reference should be made to the baseline soil quality status prior to the mining operations. </w:t>
      </w:r>
    </w:p>
    <w:p w:rsidR="00CE5995" w:rsidRDefault="00D37047" w:rsidP="00197AFF">
      <w:pPr>
        <w:pStyle w:val="ListParagraph"/>
        <w:numPr>
          <w:ilvl w:val="0"/>
          <w:numId w:val="20"/>
        </w:numPr>
        <w:tabs>
          <w:tab w:val="left" w:pos="420"/>
        </w:tabs>
        <w:spacing w:line="360" w:lineRule="auto"/>
        <w:jc w:val="both"/>
        <w:rPr>
          <w:rFonts w:ascii="Rockwell" w:hAnsi="Rockwell" w:cs="Rockwell"/>
          <w:sz w:val="24"/>
          <w:szCs w:val="24"/>
        </w:rPr>
      </w:pPr>
      <w:r>
        <w:rPr>
          <w:rFonts w:ascii="Rockwell" w:hAnsi="Rockwell" w:cs="Rockwell"/>
          <w:sz w:val="24"/>
          <w:szCs w:val="24"/>
        </w:rPr>
        <w:t>The top soil, the overburden and the waste rock available at the site and their recovery, storage as well as their utilization should be described.</w:t>
      </w:r>
    </w:p>
    <w:p w:rsidR="00CE5995" w:rsidRDefault="00D37047" w:rsidP="00197AFF">
      <w:pPr>
        <w:pStyle w:val="ListParagraph"/>
        <w:numPr>
          <w:ilvl w:val="0"/>
          <w:numId w:val="20"/>
        </w:numPr>
        <w:tabs>
          <w:tab w:val="left" w:pos="420"/>
        </w:tabs>
        <w:spacing w:line="360" w:lineRule="auto"/>
        <w:jc w:val="both"/>
        <w:rPr>
          <w:rFonts w:ascii="Rockwell" w:hAnsi="Rockwell" w:cs="Rockwell"/>
          <w:sz w:val="24"/>
          <w:szCs w:val="24"/>
        </w:rPr>
      </w:pPr>
      <w:r>
        <w:rPr>
          <w:rFonts w:ascii="Rockwell" w:hAnsi="Rockwell" w:cs="Rockwell"/>
          <w:sz w:val="24"/>
          <w:szCs w:val="24"/>
        </w:rPr>
        <w:t>In-situ and ex-situ treatment to remove the contaminants or reduce the associated hazards to acceptable level should be discussed.</w:t>
      </w:r>
    </w:p>
    <w:p w:rsidR="00CE5995" w:rsidRDefault="00D37047" w:rsidP="00197AFF">
      <w:pPr>
        <w:pStyle w:val="ListParagraph"/>
        <w:numPr>
          <w:ilvl w:val="0"/>
          <w:numId w:val="20"/>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 Radioactivity - Analysis should be done to establish the presence of Naturally Occurring Radioactive Materials (NORMs) and the safety and management measures put in place to address the same. </w:t>
      </w:r>
    </w:p>
    <w:p w:rsidR="001326A7" w:rsidRPr="001326A7" w:rsidRDefault="001326A7" w:rsidP="00197AFF">
      <w:pPr>
        <w:pStyle w:val="ListParagraph"/>
        <w:numPr>
          <w:ilvl w:val="0"/>
          <w:numId w:val="20"/>
        </w:numPr>
        <w:tabs>
          <w:tab w:val="left" w:pos="420"/>
        </w:tabs>
        <w:spacing w:line="360" w:lineRule="auto"/>
        <w:jc w:val="both"/>
        <w:rPr>
          <w:rFonts w:ascii="Rockwell" w:hAnsi="Rockwell" w:cs="Rockwell"/>
          <w:sz w:val="24"/>
          <w:szCs w:val="24"/>
        </w:rPr>
      </w:pPr>
      <w:r>
        <w:rPr>
          <w:rFonts w:ascii="Rockwell" w:hAnsi="Rockwell" w:cs="Rockwell"/>
          <w:sz w:val="24"/>
          <w:szCs w:val="24"/>
        </w:rPr>
        <w:t>Sampling and analysis of the other applicable parameters</w:t>
      </w:r>
      <w:r w:rsidR="005A5D27">
        <w:rPr>
          <w:rFonts w:ascii="Rockwell" w:hAnsi="Rockwell" w:cs="Rockwell"/>
          <w:sz w:val="24"/>
          <w:szCs w:val="24"/>
        </w:rPr>
        <w:t xml:space="preserve"> such as heavy metals, PH, total hardness, calcium hardness, magnesium hardness, chlorides, sulfates and total dissolved solids, grease, </w:t>
      </w:r>
      <w:r w:rsidR="007E4B50">
        <w:rPr>
          <w:rFonts w:ascii="Rockwell" w:hAnsi="Rockwell" w:cs="Rockwell"/>
          <w:sz w:val="24"/>
          <w:szCs w:val="24"/>
        </w:rPr>
        <w:t>TPH</w:t>
      </w:r>
      <w:r w:rsidR="005A5D27">
        <w:rPr>
          <w:rFonts w:ascii="Rockwell" w:hAnsi="Rockwell" w:cs="Rockwell"/>
          <w:sz w:val="24"/>
          <w:szCs w:val="24"/>
        </w:rPr>
        <w:t xml:space="preserve">, </w:t>
      </w:r>
      <w:r w:rsidR="007E4B50">
        <w:rPr>
          <w:rFonts w:ascii="Rockwell" w:hAnsi="Rockwell" w:cs="Rockwell"/>
          <w:sz w:val="24"/>
          <w:szCs w:val="24"/>
        </w:rPr>
        <w:t>BTEX</w:t>
      </w:r>
      <w:r w:rsidR="005A5D27">
        <w:rPr>
          <w:rFonts w:ascii="Rockwell" w:hAnsi="Rockwell" w:cs="Rockwell"/>
          <w:sz w:val="24"/>
          <w:szCs w:val="24"/>
        </w:rPr>
        <w:t>, should be considered among others.</w:t>
      </w:r>
      <w:r>
        <w:rPr>
          <w:rFonts w:ascii="Rockwell" w:hAnsi="Rockwell" w:cs="Rockwell"/>
          <w:sz w:val="24"/>
          <w:szCs w:val="24"/>
        </w:rPr>
        <w:t xml:space="preserve"> </w:t>
      </w:r>
    </w:p>
    <w:p w:rsidR="00CE5995" w:rsidRDefault="00CE5995">
      <w:pPr>
        <w:pStyle w:val="ListParagraph"/>
        <w:numPr>
          <w:ilvl w:val="255"/>
          <w:numId w:val="0"/>
        </w:numPr>
        <w:spacing w:line="360" w:lineRule="auto"/>
        <w:jc w:val="both"/>
        <w:rPr>
          <w:rFonts w:ascii="Rockwell" w:hAnsi="Rockwell" w:cs="Rockwell"/>
          <w:sz w:val="24"/>
          <w:szCs w:val="24"/>
        </w:rPr>
      </w:pPr>
    </w:p>
    <w:p w:rsidR="009C21B8" w:rsidRDefault="00D37047" w:rsidP="009C21B8">
      <w:pPr>
        <w:pStyle w:val="ListParagraph"/>
        <w:spacing w:line="360" w:lineRule="auto"/>
        <w:ind w:left="360"/>
        <w:jc w:val="both"/>
        <w:outlineLvl w:val="1"/>
        <w:rPr>
          <w:rFonts w:ascii="Rockwell" w:hAnsi="Rockwell" w:cs="Rockwell"/>
          <w:b/>
          <w:sz w:val="24"/>
          <w:szCs w:val="24"/>
        </w:rPr>
      </w:pPr>
      <w:bookmarkStart w:id="120" w:name="_Toc15578"/>
      <w:bookmarkStart w:id="121" w:name="_Toc11564"/>
      <w:bookmarkStart w:id="122" w:name="_Toc5017"/>
      <w:r>
        <w:rPr>
          <w:rFonts w:ascii="Rockwell" w:hAnsi="Rockwell" w:cs="Rockwell"/>
          <w:b/>
          <w:sz w:val="24"/>
          <w:szCs w:val="24"/>
        </w:rPr>
        <w:t xml:space="preserve">3.2.5 Biodiversity </w:t>
      </w:r>
      <w:bookmarkEnd w:id="120"/>
      <w:bookmarkEnd w:id="121"/>
      <w:bookmarkEnd w:id="122"/>
    </w:p>
    <w:p w:rsidR="007E4B50" w:rsidRPr="009B3B91" w:rsidRDefault="007E4B50" w:rsidP="007E4B50">
      <w:pPr>
        <w:spacing w:line="360" w:lineRule="auto"/>
        <w:jc w:val="both"/>
        <w:outlineLvl w:val="1"/>
        <w:rPr>
          <w:rFonts w:ascii="Rockwell" w:hAnsi="Rockwell" w:cs="Rockwell"/>
          <w:sz w:val="24"/>
          <w:szCs w:val="24"/>
        </w:rPr>
      </w:pPr>
      <w:r w:rsidRPr="009B3B91">
        <w:rPr>
          <w:rFonts w:ascii="Rockwell" w:hAnsi="Rockwell" w:cs="Rockwell"/>
          <w:sz w:val="24"/>
          <w:szCs w:val="24"/>
        </w:rPr>
        <w:t>Biodiversity is a key component of the ecosystem and must therefore be protected. It is advisable that biodiversity assessment is done during ESIA process and</w:t>
      </w:r>
      <w:r w:rsidR="009B3B91">
        <w:rPr>
          <w:rFonts w:ascii="Rockwell" w:hAnsi="Rockwell" w:cs="Rockwell"/>
          <w:sz w:val="24"/>
          <w:szCs w:val="24"/>
        </w:rPr>
        <w:t xml:space="preserve"> a clear framework for its protection and management to be in place during the decommissioning and rehabilitation planning.</w:t>
      </w:r>
      <w:r w:rsidR="00073596">
        <w:rPr>
          <w:rFonts w:ascii="Rockwell" w:hAnsi="Rockwell" w:cs="Rockwell"/>
          <w:sz w:val="24"/>
          <w:szCs w:val="24"/>
        </w:rPr>
        <w:t xml:space="preserve"> The following information should be provided in the Plan but not limited to: </w:t>
      </w:r>
      <w:r w:rsidRPr="009B3B91">
        <w:rPr>
          <w:rFonts w:ascii="Rockwell" w:hAnsi="Rockwell" w:cs="Rockwell"/>
          <w:sz w:val="24"/>
          <w:szCs w:val="24"/>
        </w:rPr>
        <w:t xml:space="preserve"> </w:t>
      </w:r>
    </w:p>
    <w:p w:rsidR="009C21B8" w:rsidRPr="007830BE" w:rsidRDefault="009C21B8" w:rsidP="00197AFF">
      <w:pPr>
        <w:pStyle w:val="ListParagraph"/>
        <w:widowControl/>
        <w:numPr>
          <w:ilvl w:val="0"/>
          <w:numId w:val="21"/>
        </w:numPr>
        <w:tabs>
          <w:tab w:val="left" w:pos="420"/>
        </w:tabs>
        <w:spacing w:after="200" w:line="276" w:lineRule="auto"/>
        <w:jc w:val="both"/>
        <w:rPr>
          <w:rFonts w:ascii="Rockwell" w:hAnsi="Rockwell" w:cs="Rockwell"/>
          <w:sz w:val="24"/>
          <w:szCs w:val="24"/>
        </w:rPr>
      </w:pPr>
      <w:r w:rsidRPr="007830BE">
        <w:rPr>
          <w:rFonts w:ascii="Rockwell" w:hAnsi="Rockwell" w:cs="Rockwell"/>
          <w:sz w:val="24"/>
          <w:szCs w:val="24"/>
        </w:rPr>
        <w:t>The biodiversity parameters that should be assessed are; flora &amp; fauna, fresh water &amp; marine, Critical habitats/Fragile ecosystems</w:t>
      </w:r>
      <w:r w:rsidR="007830BE">
        <w:rPr>
          <w:rFonts w:ascii="Rockwell" w:hAnsi="Rockwell" w:cs="Rockwell"/>
          <w:sz w:val="24"/>
          <w:szCs w:val="24"/>
        </w:rPr>
        <w:t xml:space="preserve"> as is applicable</w:t>
      </w:r>
      <w:r w:rsidR="00073596">
        <w:rPr>
          <w:rFonts w:ascii="Rockwell" w:hAnsi="Rockwell" w:cs="Rockwell"/>
          <w:sz w:val="24"/>
          <w:szCs w:val="24"/>
        </w:rPr>
        <w:t>;</w:t>
      </w:r>
    </w:p>
    <w:p w:rsidR="00CE5995" w:rsidRDefault="00D37047" w:rsidP="00197AFF">
      <w:pPr>
        <w:pStyle w:val="ListParagraph"/>
        <w:numPr>
          <w:ilvl w:val="0"/>
          <w:numId w:val="21"/>
        </w:numPr>
        <w:tabs>
          <w:tab w:val="left" w:pos="420"/>
        </w:tabs>
        <w:spacing w:line="360" w:lineRule="auto"/>
        <w:jc w:val="both"/>
        <w:rPr>
          <w:rFonts w:ascii="Rockwell" w:hAnsi="Rockwell" w:cs="Rockwell"/>
          <w:sz w:val="24"/>
          <w:szCs w:val="24"/>
        </w:rPr>
      </w:pPr>
      <w:r>
        <w:rPr>
          <w:rFonts w:ascii="Rockwell" w:hAnsi="Rockwell" w:cs="Rockwell"/>
          <w:sz w:val="24"/>
          <w:szCs w:val="24"/>
        </w:rPr>
        <w:t>Reference should be made to the biodiversity assessment studies including ecologically sensitive areas</w:t>
      </w:r>
      <w:r w:rsidR="00F01DC5">
        <w:rPr>
          <w:rFonts w:ascii="Rockwell" w:hAnsi="Rockwell" w:cs="Rockwell"/>
          <w:sz w:val="24"/>
          <w:szCs w:val="24"/>
        </w:rPr>
        <w:t>, threatened species which were</w:t>
      </w:r>
      <w:r>
        <w:rPr>
          <w:rFonts w:ascii="Rockwell" w:hAnsi="Rockwell" w:cs="Rockwell"/>
          <w:sz w:val="24"/>
          <w:szCs w:val="24"/>
        </w:rPr>
        <w:t xml:space="preserve"> done prior to the mining operations</w:t>
      </w:r>
      <w:r w:rsidR="00073596">
        <w:rPr>
          <w:rFonts w:ascii="Rockwell" w:hAnsi="Rockwell" w:cs="Rockwell"/>
          <w:sz w:val="24"/>
          <w:szCs w:val="24"/>
        </w:rPr>
        <w:t>;</w:t>
      </w:r>
      <w:r>
        <w:rPr>
          <w:rFonts w:ascii="Rockwell" w:hAnsi="Rockwell" w:cs="Rockwell"/>
          <w:sz w:val="24"/>
          <w:szCs w:val="24"/>
        </w:rPr>
        <w:t xml:space="preserve"> </w:t>
      </w:r>
    </w:p>
    <w:p w:rsidR="00073596" w:rsidRDefault="00807FAE" w:rsidP="00BC6616">
      <w:pPr>
        <w:pStyle w:val="ListParagraph"/>
        <w:numPr>
          <w:ilvl w:val="0"/>
          <w:numId w:val="21"/>
        </w:numPr>
        <w:tabs>
          <w:tab w:val="left" w:pos="420"/>
        </w:tabs>
        <w:spacing w:line="360" w:lineRule="auto"/>
        <w:jc w:val="both"/>
        <w:rPr>
          <w:rFonts w:ascii="Rockwell" w:hAnsi="Rockwell" w:cs="Rockwell"/>
          <w:sz w:val="24"/>
          <w:szCs w:val="24"/>
        </w:rPr>
      </w:pPr>
      <w:r w:rsidRPr="00073596">
        <w:rPr>
          <w:rFonts w:ascii="Rockwell" w:hAnsi="Rockwell" w:cs="Rockwell"/>
          <w:b/>
          <w:sz w:val="24"/>
          <w:szCs w:val="24"/>
        </w:rPr>
        <w:t>Offset:</w:t>
      </w:r>
      <w:r w:rsidRPr="00073596">
        <w:rPr>
          <w:rFonts w:ascii="Rockwell" w:hAnsi="Rockwell" w:cs="Rockwell"/>
          <w:sz w:val="24"/>
          <w:szCs w:val="24"/>
        </w:rPr>
        <w:t xml:space="preserve"> </w:t>
      </w:r>
      <w:r w:rsidR="00D37047" w:rsidRPr="00073596">
        <w:rPr>
          <w:rFonts w:ascii="Rockwell" w:hAnsi="Rockwell" w:cs="Rockwell"/>
          <w:sz w:val="24"/>
          <w:szCs w:val="24"/>
        </w:rPr>
        <w:t xml:space="preserve">Indicate the biodiversity offset as a compensation to the loss of </w:t>
      </w:r>
      <w:r w:rsidR="00D37047" w:rsidRPr="00073596">
        <w:rPr>
          <w:rFonts w:ascii="Rockwell" w:hAnsi="Rockwell" w:cs="Rockwell"/>
          <w:sz w:val="24"/>
          <w:szCs w:val="24"/>
        </w:rPr>
        <w:lastRenderedPageBreak/>
        <w:t>biodiversity</w:t>
      </w:r>
      <w:r w:rsidR="00073596" w:rsidRPr="00073596">
        <w:rPr>
          <w:rFonts w:ascii="Rockwell" w:hAnsi="Rockwell" w:cs="Rockwell"/>
          <w:sz w:val="24"/>
          <w:szCs w:val="24"/>
        </w:rPr>
        <w:t>;</w:t>
      </w:r>
    </w:p>
    <w:p w:rsidR="00807FAE" w:rsidRPr="00073596" w:rsidRDefault="00807FAE" w:rsidP="00BC6616">
      <w:pPr>
        <w:pStyle w:val="ListParagraph"/>
        <w:numPr>
          <w:ilvl w:val="0"/>
          <w:numId w:val="21"/>
        </w:numPr>
        <w:tabs>
          <w:tab w:val="left" w:pos="420"/>
        </w:tabs>
        <w:spacing w:line="360" w:lineRule="auto"/>
        <w:jc w:val="both"/>
        <w:rPr>
          <w:rFonts w:ascii="Rockwell" w:hAnsi="Rockwell" w:cs="Rockwell"/>
          <w:sz w:val="24"/>
          <w:szCs w:val="24"/>
        </w:rPr>
      </w:pPr>
      <w:r w:rsidRPr="00073596">
        <w:rPr>
          <w:rFonts w:ascii="Rockwell" w:hAnsi="Rockwell" w:cs="Rockwell"/>
          <w:b/>
          <w:sz w:val="24"/>
          <w:szCs w:val="24"/>
        </w:rPr>
        <w:t>Opportunity cost:</w:t>
      </w:r>
      <w:r w:rsidRPr="00073596">
        <w:rPr>
          <w:rFonts w:ascii="Rockwell" w:hAnsi="Rockwell" w:cs="Rockwell"/>
          <w:sz w:val="24"/>
          <w:szCs w:val="24"/>
        </w:rPr>
        <w:t xml:space="preserve"> Discuss lost opportunity that might result from the implementation of the mining activit</w:t>
      </w:r>
      <w:r w:rsidR="007E4B50" w:rsidRPr="00073596">
        <w:rPr>
          <w:rFonts w:ascii="Rockwell" w:hAnsi="Rockwell" w:cs="Rockwell"/>
          <w:sz w:val="24"/>
          <w:szCs w:val="24"/>
        </w:rPr>
        <w:t>y with the desire to have a win-</w:t>
      </w:r>
      <w:r w:rsidRPr="00073596">
        <w:rPr>
          <w:rFonts w:ascii="Rockwell" w:hAnsi="Rockwell" w:cs="Rockwell"/>
          <w:sz w:val="24"/>
          <w:szCs w:val="24"/>
        </w:rPr>
        <w:t>win scenario between mining activities and conservation</w:t>
      </w:r>
      <w:r w:rsidR="00073596">
        <w:rPr>
          <w:rFonts w:ascii="Rockwell" w:hAnsi="Rockwell" w:cs="Rockwell"/>
          <w:sz w:val="24"/>
          <w:szCs w:val="24"/>
        </w:rPr>
        <w:t xml:space="preserve">; and </w:t>
      </w:r>
      <w:r w:rsidRPr="00073596">
        <w:rPr>
          <w:rFonts w:ascii="Rockwell" w:hAnsi="Rockwell" w:cs="Rockwell"/>
          <w:sz w:val="24"/>
          <w:szCs w:val="24"/>
        </w:rPr>
        <w:t xml:space="preserve"> </w:t>
      </w:r>
    </w:p>
    <w:p w:rsidR="00073596" w:rsidRDefault="00D37047" w:rsidP="00197AFF">
      <w:pPr>
        <w:pStyle w:val="ListParagraph"/>
        <w:numPr>
          <w:ilvl w:val="0"/>
          <w:numId w:val="21"/>
        </w:numPr>
        <w:tabs>
          <w:tab w:val="left" w:pos="420"/>
        </w:tabs>
        <w:spacing w:line="360" w:lineRule="auto"/>
        <w:jc w:val="both"/>
        <w:rPr>
          <w:rFonts w:ascii="Rockwell" w:hAnsi="Rockwell" w:cs="Rockwell"/>
          <w:sz w:val="24"/>
          <w:szCs w:val="24"/>
        </w:rPr>
      </w:pPr>
      <w:r>
        <w:rPr>
          <w:rFonts w:ascii="Rockwell" w:hAnsi="Rockwell" w:cs="Rockwell"/>
          <w:sz w:val="24"/>
          <w:szCs w:val="24"/>
        </w:rPr>
        <w:t>Indicate the status of the ecological recovery at the site</w:t>
      </w:r>
      <w:r w:rsidR="00073596">
        <w:rPr>
          <w:rFonts w:ascii="Rockwell" w:hAnsi="Rockwell" w:cs="Rockwell"/>
          <w:sz w:val="24"/>
          <w:szCs w:val="24"/>
        </w:rPr>
        <w:t>.</w:t>
      </w:r>
    </w:p>
    <w:p w:rsidR="00CE5995" w:rsidRDefault="00D37047" w:rsidP="00073596">
      <w:pPr>
        <w:pStyle w:val="ListParagraph"/>
        <w:tabs>
          <w:tab w:val="left" w:pos="420"/>
        </w:tabs>
        <w:spacing w:line="360" w:lineRule="auto"/>
        <w:ind w:left="360"/>
        <w:jc w:val="both"/>
        <w:rPr>
          <w:rFonts w:ascii="Rockwell" w:hAnsi="Rockwell" w:cs="Rockwell"/>
          <w:sz w:val="24"/>
          <w:szCs w:val="24"/>
        </w:rPr>
      </w:pPr>
      <w:r>
        <w:rPr>
          <w:rFonts w:ascii="Rockwell" w:hAnsi="Rockwell" w:cs="Rockwell"/>
          <w:sz w:val="24"/>
          <w:szCs w:val="24"/>
        </w:rPr>
        <w:t xml:space="preserve"> </w:t>
      </w:r>
    </w:p>
    <w:p w:rsidR="00CE5995" w:rsidRDefault="00B85BAF">
      <w:pPr>
        <w:pStyle w:val="ListParagraph"/>
        <w:numPr>
          <w:ilvl w:val="255"/>
          <w:numId w:val="0"/>
        </w:numPr>
        <w:spacing w:line="360" w:lineRule="auto"/>
        <w:ind w:left="360"/>
        <w:jc w:val="both"/>
        <w:outlineLvl w:val="1"/>
        <w:rPr>
          <w:rFonts w:ascii="Rockwell" w:hAnsi="Rockwell" w:cs="Rockwell"/>
          <w:sz w:val="24"/>
          <w:szCs w:val="24"/>
        </w:rPr>
      </w:pPr>
      <w:bookmarkStart w:id="123" w:name="_Toc29676"/>
      <w:bookmarkStart w:id="124" w:name="_Toc15927"/>
      <w:bookmarkStart w:id="125" w:name="_Toc2774"/>
      <w:r>
        <w:rPr>
          <w:rFonts w:ascii="Rockwell" w:hAnsi="Rockwell" w:cs="Rockwell"/>
          <w:b/>
          <w:sz w:val="24"/>
          <w:szCs w:val="24"/>
        </w:rPr>
        <w:t>3.2.6 Tailing Storage Facility (TSF) M</w:t>
      </w:r>
      <w:r w:rsidR="00D37047">
        <w:rPr>
          <w:rFonts w:ascii="Rockwell" w:hAnsi="Rockwell" w:cs="Rockwell"/>
          <w:b/>
          <w:sz w:val="24"/>
          <w:szCs w:val="24"/>
        </w:rPr>
        <w:t>anagement</w:t>
      </w:r>
      <w:bookmarkEnd w:id="123"/>
      <w:bookmarkEnd w:id="124"/>
      <w:bookmarkEnd w:id="125"/>
      <w:r w:rsidR="00D37047">
        <w:rPr>
          <w:rFonts w:ascii="Rockwell" w:hAnsi="Rockwell" w:cs="Rockwell"/>
          <w:sz w:val="24"/>
          <w:szCs w:val="24"/>
        </w:rPr>
        <w:t xml:space="preserve"> </w:t>
      </w:r>
    </w:p>
    <w:p w:rsidR="00CE5995" w:rsidRDefault="00D37047" w:rsidP="00197AFF">
      <w:pPr>
        <w:pStyle w:val="ListParagraph"/>
        <w:numPr>
          <w:ilvl w:val="0"/>
          <w:numId w:val="22"/>
        </w:numPr>
        <w:tabs>
          <w:tab w:val="left" w:pos="420"/>
        </w:tabs>
        <w:spacing w:line="360" w:lineRule="auto"/>
        <w:jc w:val="both"/>
        <w:rPr>
          <w:rFonts w:ascii="Rockwell" w:hAnsi="Rockwell" w:cs="Rockwell"/>
          <w:color w:val="FF0000"/>
          <w:sz w:val="24"/>
          <w:szCs w:val="24"/>
        </w:rPr>
      </w:pPr>
      <w:r>
        <w:rPr>
          <w:rFonts w:ascii="Rockwell" w:hAnsi="Rockwell" w:cs="Rockwell"/>
          <w:sz w:val="24"/>
          <w:szCs w:val="24"/>
        </w:rPr>
        <w:t xml:space="preserve">The steps taken for protection and stability of tailings dam, </w:t>
      </w:r>
      <w:r w:rsidR="00B85BAF" w:rsidRPr="00B85BAF">
        <w:rPr>
          <w:rFonts w:ascii="Rockwell" w:hAnsi="Rockwell" w:cs="Rockwell"/>
          <w:sz w:val="24"/>
          <w:szCs w:val="24"/>
        </w:rPr>
        <w:t xml:space="preserve">periodic desilting, </w:t>
      </w:r>
      <w:r>
        <w:rPr>
          <w:rFonts w:ascii="Rockwell" w:hAnsi="Rockwell" w:cs="Rockwell"/>
          <w:sz w:val="24"/>
          <w:szCs w:val="24"/>
        </w:rPr>
        <w:t>stabilization of tailing</w:t>
      </w:r>
      <w:r w:rsidR="00B85BAF">
        <w:rPr>
          <w:rFonts w:ascii="Rockwell" w:hAnsi="Rockwell" w:cs="Rockwell"/>
          <w:sz w:val="24"/>
          <w:szCs w:val="24"/>
        </w:rPr>
        <w:t>s material and its utilization</w:t>
      </w:r>
    </w:p>
    <w:p w:rsidR="00CE5995" w:rsidRDefault="00B85BAF" w:rsidP="00197AFF">
      <w:pPr>
        <w:pStyle w:val="ListParagraph"/>
        <w:numPr>
          <w:ilvl w:val="0"/>
          <w:numId w:val="22"/>
        </w:numPr>
        <w:tabs>
          <w:tab w:val="left" w:pos="420"/>
        </w:tabs>
        <w:spacing w:line="360" w:lineRule="auto"/>
        <w:jc w:val="both"/>
        <w:rPr>
          <w:rFonts w:ascii="Rockwell" w:hAnsi="Rockwell" w:cs="Rockwell"/>
          <w:sz w:val="24"/>
          <w:szCs w:val="24"/>
        </w:rPr>
      </w:pPr>
      <w:r>
        <w:rPr>
          <w:rFonts w:ascii="Rockwell" w:hAnsi="Rockwell" w:cs="Rockwell"/>
          <w:sz w:val="24"/>
          <w:szCs w:val="24"/>
        </w:rPr>
        <w:t>Measures</w:t>
      </w:r>
      <w:r w:rsidR="00D37047">
        <w:rPr>
          <w:rFonts w:ascii="Rockwell" w:hAnsi="Rockwell" w:cs="Rockwell"/>
          <w:sz w:val="24"/>
          <w:szCs w:val="24"/>
        </w:rPr>
        <w:t xml:space="preserve"> to prevent water pollution from tailings arrangement for surplus water overflow along with detail design, structural stability studies, the embankment seepage loss into the receiving environment and ground water contaminant if any should be given.</w:t>
      </w:r>
    </w:p>
    <w:p w:rsidR="00CE5995" w:rsidRDefault="00D37047" w:rsidP="00197AFF">
      <w:pPr>
        <w:pStyle w:val="ListParagraph"/>
        <w:numPr>
          <w:ilvl w:val="0"/>
          <w:numId w:val="22"/>
        </w:numPr>
        <w:tabs>
          <w:tab w:val="left" w:pos="420"/>
        </w:tabs>
        <w:spacing w:line="360" w:lineRule="auto"/>
        <w:jc w:val="both"/>
        <w:rPr>
          <w:rFonts w:ascii="Rockwell" w:hAnsi="Rockwell" w:cs="Rockwell"/>
          <w:sz w:val="24"/>
          <w:szCs w:val="24"/>
        </w:rPr>
      </w:pPr>
      <w:r>
        <w:rPr>
          <w:rFonts w:ascii="Rockwell" w:hAnsi="Rockwell" w:cs="Rockwell"/>
          <w:sz w:val="24"/>
          <w:szCs w:val="24"/>
        </w:rPr>
        <w:t>Post-care and maintenance plan for the TSF to be described</w:t>
      </w:r>
    </w:p>
    <w:p w:rsidR="00CE5995" w:rsidRDefault="00D37047" w:rsidP="00197AFF">
      <w:pPr>
        <w:pStyle w:val="ListParagraph"/>
        <w:numPr>
          <w:ilvl w:val="0"/>
          <w:numId w:val="22"/>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Provide details of the </w:t>
      </w:r>
      <w:proofErr w:type="spellStart"/>
      <w:r>
        <w:rPr>
          <w:rFonts w:ascii="Rockwell" w:hAnsi="Rockwell" w:cs="Rockwell"/>
          <w:sz w:val="24"/>
          <w:szCs w:val="24"/>
        </w:rPr>
        <w:t>minerological</w:t>
      </w:r>
      <w:proofErr w:type="spellEnd"/>
      <w:r>
        <w:rPr>
          <w:rFonts w:ascii="Rockwell" w:hAnsi="Rockwell" w:cs="Rockwell"/>
          <w:sz w:val="24"/>
          <w:szCs w:val="24"/>
        </w:rPr>
        <w:t xml:space="preserve"> studies done to characterize tailings and cover material and identify the presence and nature of potentially acid producing sulfides and any other liquids remaining in the TSF and their treatment prior to discharge or evaporation.</w:t>
      </w:r>
    </w:p>
    <w:p w:rsidR="00CE5995" w:rsidRDefault="00CE5995">
      <w:pPr>
        <w:pStyle w:val="ListParagraph"/>
        <w:numPr>
          <w:ilvl w:val="255"/>
          <w:numId w:val="0"/>
        </w:numPr>
        <w:spacing w:line="360" w:lineRule="auto"/>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126" w:name="_Toc28517"/>
      <w:bookmarkStart w:id="127" w:name="_Toc5363"/>
      <w:bookmarkStart w:id="128" w:name="_Toc16962"/>
      <w:r>
        <w:rPr>
          <w:rFonts w:ascii="Rockwell" w:hAnsi="Rockwell" w:cs="Rockwell"/>
          <w:b/>
          <w:sz w:val="24"/>
          <w:szCs w:val="24"/>
        </w:rPr>
        <w:t>3.2.7 Disused mine pits</w:t>
      </w:r>
      <w:bookmarkEnd w:id="126"/>
      <w:bookmarkEnd w:id="127"/>
      <w:bookmarkEnd w:id="128"/>
    </w:p>
    <w:p w:rsidR="00CE5995" w:rsidRDefault="00CE3F54">
      <w:pPr>
        <w:pStyle w:val="ListParagraph"/>
        <w:numPr>
          <w:ilvl w:val="255"/>
          <w:numId w:val="0"/>
        </w:numPr>
        <w:spacing w:line="360" w:lineRule="auto"/>
        <w:jc w:val="both"/>
        <w:rPr>
          <w:rFonts w:ascii="Rockwell" w:hAnsi="Rockwell" w:cs="Rockwell"/>
          <w:sz w:val="24"/>
          <w:szCs w:val="24"/>
        </w:rPr>
      </w:pPr>
      <w:r>
        <w:rPr>
          <w:rFonts w:ascii="Rockwell" w:hAnsi="Rockwell" w:cs="Rockwell"/>
          <w:sz w:val="24"/>
          <w:szCs w:val="24"/>
        </w:rPr>
        <w:t>Develop compatible after-</w:t>
      </w:r>
      <w:r w:rsidR="00D37047">
        <w:rPr>
          <w:rFonts w:ascii="Rockwell" w:hAnsi="Rockwell" w:cs="Rockwell"/>
          <w:sz w:val="24"/>
          <w:szCs w:val="24"/>
        </w:rPr>
        <w:t xml:space="preserve">use plans in consultation with the </w:t>
      </w:r>
      <w:r>
        <w:rPr>
          <w:rFonts w:ascii="Rockwell" w:hAnsi="Rockwell" w:cs="Rockwell"/>
          <w:sz w:val="24"/>
          <w:szCs w:val="24"/>
        </w:rPr>
        <w:t>PAP</w:t>
      </w:r>
      <w:r w:rsidR="00D37047">
        <w:rPr>
          <w:rFonts w:ascii="Rockwell" w:hAnsi="Rockwell" w:cs="Rockwell"/>
          <w:sz w:val="24"/>
          <w:szCs w:val="24"/>
        </w:rPr>
        <w:t>s and other stakeholders for the disused mine pits</w:t>
      </w:r>
      <w:r w:rsidR="00E86B44">
        <w:rPr>
          <w:rFonts w:ascii="Rockwell" w:hAnsi="Rockwell" w:cs="Rockwell"/>
          <w:sz w:val="24"/>
          <w:szCs w:val="24"/>
        </w:rPr>
        <w:t>.</w:t>
      </w:r>
    </w:p>
    <w:p w:rsidR="00CE5995" w:rsidRDefault="00CE5995">
      <w:pPr>
        <w:pStyle w:val="ListParagraph"/>
        <w:numPr>
          <w:ilvl w:val="255"/>
          <w:numId w:val="0"/>
        </w:numPr>
        <w:spacing w:line="360" w:lineRule="auto"/>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129" w:name="_Toc5853"/>
      <w:bookmarkStart w:id="130" w:name="_Toc22100"/>
      <w:bookmarkStart w:id="131" w:name="_Toc23623"/>
      <w:r>
        <w:rPr>
          <w:rFonts w:ascii="Rockwell" w:hAnsi="Rockwell" w:cs="Rockwell"/>
          <w:b/>
          <w:sz w:val="24"/>
          <w:szCs w:val="24"/>
        </w:rPr>
        <w:t>3.2.8 Infrastructure</w:t>
      </w:r>
      <w:bookmarkEnd w:id="129"/>
      <w:bookmarkEnd w:id="130"/>
      <w:bookmarkEnd w:id="131"/>
    </w:p>
    <w:p w:rsidR="00CE5995" w:rsidRDefault="00D37047" w:rsidP="00197AFF">
      <w:pPr>
        <w:pStyle w:val="ListParagraph"/>
        <w:numPr>
          <w:ilvl w:val="0"/>
          <w:numId w:val="23"/>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The existing infrastructural facilities available such as roads, aerial rope-ways, conveyor belts, railways, power lines, buildings &amp; structures, water treatment plant, transport, water supply sources in the area </w:t>
      </w:r>
      <w:r w:rsidR="00CE3F54">
        <w:rPr>
          <w:rFonts w:ascii="Rockwell" w:hAnsi="Rockwell" w:cs="Rockwell"/>
          <w:sz w:val="24"/>
          <w:szCs w:val="24"/>
        </w:rPr>
        <w:t>among others</w:t>
      </w:r>
      <w:r>
        <w:rPr>
          <w:rFonts w:ascii="Rockwell" w:hAnsi="Rockwell" w:cs="Rockwell"/>
          <w:sz w:val="24"/>
          <w:szCs w:val="24"/>
        </w:rPr>
        <w:t xml:space="preserve"> and their future utilization should be evaluated on </w:t>
      </w:r>
      <w:r w:rsidR="00E86B44">
        <w:rPr>
          <w:rFonts w:ascii="Rockwell" w:hAnsi="Rockwell" w:cs="Rockwell"/>
          <w:sz w:val="24"/>
          <w:szCs w:val="24"/>
        </w:rPr>
        <w:t xml:space="preserve">a </w:t>
      </w:r>
      <w:r>
        <w:rPr>
          <w:rFonts w:ascii="Rockwell" w:hAnsi="Rockwell" w:cs="Rockwell"/>
          <w:sz w:val="24"/>
          <w:szCs w:val="24"/>
        </w:rPr>
        <w:t xml:space="preserve">case </w:t>
      </w:r>
      <w:r w:rsidR="00E86B44">
        <w:rPr>
          <w:rFonts w:ascii="Rockwell" w:hAnsi="Rockwell" w:cs="Rockwell"/>
          <w:sz w:val="24"/>
          <w:szCs w:val="24"/>
        </w:rPr>
        <w:t xml:space="preserve">by </w:t>
      </w:r>
      <w:r>
        <w:rPr>
          <w:rFonts w:ascii="Rockwell" w:hAnsi="Rockwell" w:cs="Rockwell"/>
          <w:sz w:val="24"/>
          <w:szCs w:val="24"/>
        </w:rPr>
        <w:t xml:space="preserve">case basis. </w:t>
      </w:r>
    </w:p>
    <w:p w:rsidR="00CE5995" w:rsidRDefault="00D37047" w:rsidP="00197AFF">
      <w:pPr>
        <w:pStyle w:val="ListParagraph"/>
        <w:numPr>
          <w:ilvl w:val="0"/>
          <w:numId w:val="23"/>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If retained, the measures to be taken for their physical stability and maintenance should be described. </w:t>
      </w:r>
    </w:p>
    <w:p w:rsidR="00CE5995" w:rsidRDefault="00D37047" w:rsidP="00197AFF">
      <w:pPr>
        <w:pStyle w:val="ListParagraph"/>
        <w:numPr>
          <w:ilvl w:val="0"/>
          <w:numId w:val="23"/>
        </w:numPr>
        <w:tabs>
          <w:tab w:val="left" w:pos="420"/>
        </w:tabs>
        <w:spacing w:line="360" w:lineRule="auto"/>
        <w:jc w:val="both"/>
        <w:rPr>
          <w:rFonts w:ascii="Rockwell" w:hAnsi="Rockwell" w:cs="Rockwell"/>
          <w:sz w:val="24"/>
          <w:szCs w:val="24"/>
        </w:rPr>
      </w:pPr>
      <w:r>
        <w:rPr>
          <w:rFonts w:ascii="Rockwell" w:hAnsi="Rockwell" w:cs="Rockwell"/>
          <w:sz w:val="24"/>
          <w:szCs w:val="24"/>
        </w:rPr>
        <w:lastRenderedPageBreak/>
        <w:t>If decommissioning proposed, dismantling and disposal of building structures, support facilities and other infrastructure like electric transmission line, water line, gas pipeline, water works, sewer line, telephone cables, underground tanks, transportation infrastructure like roads, rails, bridges, culverts</w:t>
      </w:r>
      <w:r w:rsidR="00CE3F54">
        <w:rPr>
          <w:rFonts w:ascii="Rockwell" w:hAnsi="Rockwell" w:cs="Rockwell"/>
          <w:sz w:val="24"/>
          <w:szCs w:val="24"/>
        </w:rPr>
        <w:t xml:space="preserve">, </w:t>
      </w:r>
      <w:r>
        <w:rPr>
          <w:rFonts w:ascii="Rockwell" w:hAnsi="Rockwell" w:cs="Rockwell"/>
          <w:sz w:val="24"/>
          <w:szCs w:val="24"/>
        </w:rPr>
        <w:t xml:space="preserve">electrical equipment’s and infrastructures like electric cables, transformers to be described in connection with restoring land for further use. </w:t>
      </w:r>
    </w:p>
    <w:p w:rsidR="00CE5995" w:rsidRDefault="00CE5995">
      <w:pPr>
        <w:pStyle w:val="ListParagraph"/>
        <w:numPr>
          <w:ilvl w:val="255"/>
          <w:numId w:val="0"/>
        </w:numPr>
        <w:spacing w:line="360" w:lineRule="auto"/>
        <w:ind w:left="360"/>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132" w:name="_Toc7925"/>
      <w:bookmarkStart w:id="133" w:name="_Toc22503"/>
      <w:bookmarkStart w:id="134" w:name="_Toc17996"/>
      <w:r>
        <w:rPr>
          <w:rFonts w:ascii="Rockwell" w:hAnsi="Rockwell" w:cs="Rockwell"/>
          <w:b/>
          <w:sz w:val="24"/>
          <w:szCs w:val="24"/>
        </w:rPr>
        <w:t xml:space="preserve">3.2.9 Disposal of </w:t>
      </w:r>
      <w:r w:rsidR="00373504">
        <w:rPr>
          <w:rFonts w:ascii="Rockwell" w:hAnsi="Rockwell" w:cs="Rockwell"/>
          <w:b/>
          <w:sz w:val="24"/>
          <w:szCs w:val="24"/>
        </w:rPr>
        <w:t xml:space="preserve">Mining Machinery </w:t>
      </w:r>
      <w:r>
        <w:rPr>
          <w:rFonts w:ascii="Rockwell" w:hAnsi="Rockwell" w:cs="Rockwell"/>
          <w:b/>
          <w:sz w:val="24"/>
          <w:szCs w:val="24"/>
        </w:rPr>
        <w:t xml:space="preserve">and </w:t>
      </w:r>
      <w:r w:rsidR="00373504">
        <w:rPr>
          <w:rFonts w:ascii="Rockwell" w:hAnsi="Rockwell" w:cs="Rockwell"/>
          <w:b/>
          <w:sz w:val="24"/>
          <w:szCs w:val="24"/>
        </w:rPr>
        <w:t>E</w:t>
      </w:r>
      <w:r>
        <w:rPr>
          <w:rFonts w:ascii="Rockwell" w:hAnsi="Rockwell" w:cs="Rockwell"/>
          <w:b/>
          <w:sz w:val="24"/>
          <w:szCs w:val="24"/>
        </w:rPr>
        <w:t>quipme</w:t>
      </w:r>
      <w:r w:rsidR="00373504">
        <w:rPr>
          <w:rFonts w:ascii="Rockwell" w:hAnsi="Rockwell" w:cs="Rockwell"/>
          <w:b/>
          <w:sz w:val="24"/>
          <w:szCs w:val="24"/>
        </w:rPr>
        <w:t>nt</w:t>
      </w:r>
      <w:bookmarkEnd w:id="132"/>
      <w:bookmarkEnd w:id="133"/>
      <w:bookmarkEnd w:id="134"/>
    </w:p>
    <w:p w:rsidR="00CE5995" w:rsidRDefault="00D37047" w:rsidP="00197AFF">
      <w:pPr>
        <w:pStyle w:val="ListParagraph"/>
        <w:numPr>
          <w:ilvl w:val="0"/>
          <w:numId w:val="24"/>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The decommissioning of mining machineries and their possible post mining utilization and disposal options, if any, to be described. </w:t>
      </w:r>
    </w:p>
    <w:p w:rsidR="00CE5995" w:rsidRDefault="00D37047" w:rsidP="00197AFF">
      <w:pPr>
        <w:pStyle w:val="ListParagraph"/>
        <w:numPr>
          <w:ilvl w:val="0"/>
          <w:numId w:val="24"/>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The closure plan must consider how rehabilitation works will be carried out if mining machinery is unavailable at the time of rehabilitation and closure. </w:t>
      </w:r>
    </w:p>
    <w:p w:rsidR="00CE5995" w:rsidRDefault="00D37047" w:rsidP="00197AFF">
      <w:pPr>
        <w:pStyle w:val="ListParagraph"/>
        <w:numPr>
          <w:ilvl w:val="0"/>
          <w:numId w:val="24"/>
        </w:numPr>
        <w:tabs>
          <w:tab w:val="left" w:pos="420"/>
        </w:tabs>
        <w:spacing w:line="360" w:lineRule="auto"/>
        <w:jc w:val="both"/>
        <w:rPr>
          <w:rFonts w:ascii="Rockwell" w:hAnsi="Rockwell" w:cs="Rockwell"/>
          <w:sz w:val="24"/>
          <w:szCs w:val="24"/>
        </w:rPr>
      </w:pPr>
      <w:r>
        <w:rPr>
          <w:rFonts w:ascii="Rockwell" w:hAnsi="Rockwell" w:cs="Rockwell"/>
          <w:sz w:val="24"/>
          <w:szCs w:val="24"/>
        </w:rPr>
        <w:t>Closure costs should include machine rental costs and costs of manpower on a normal commercial contractor basis.</w:t>
      </w:r>
    </w:p>
    <w:p w:rsidR="00CE5995" w:rsidRDefault="00D37047" w:rsidP="00197AFF">
      <w:pPr>
        <w:pStyle w:val="ListParagraph"/>
        <w:numPr>
          <w:ilvl w:val="0"/>
          <w:numId w:val="24"/>
        </w:numPr>
        <w:tabs>
          <w:tab w:val="left" w:pos="420"/>
        </w:tabs>
        <w:spacing w:line="360" w:lineRule="auto"/>
        <w:jc w:val="both"/>
        <w:rPr>
          <w:rFonts w:ascii="Rockwell" w:hAnsi="Rockwell" w:cs="Rockwell"/>
          <w:sz w:val="24"/>
          <w:szCs w:val="24"/>
        </w:rPr>
      </w:pPr>
      <w:r>
        <w:rPr>
          <w:rFonts w:ascii="Rockwell" w:hAnsi="Rockwell" w:cs="Rockwell"/>
          <w:sz w:val="24"/>
          <w:szCs w:val="24"/>
        </w:rPr>
        <w:t>Dismantling, segregation, reuse, recovery, recycling and final disposal to be described.</w:t>
      </w:r>
    </w:p>
    <w:p w:rsidR="00197AFF" w:rsidRPr="00197AFF" w:rsidRDefault="00197AFF" w:rsidP="00197AFF">
      <w:pPr>
        <w:pStyle w:val="ListParagraph"/>
        <w:tabs>
          <w:tab w:val="left" w:pos="420"/>
        </w:tabs>
        <w:spacing w:line="360" w:lineRule="auto"/>
        <w:ind w:left="360"/>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135" w:name="_Toc26269"/>
      <w:bookmarkStart w:id="136" w:name="_Toc32439"/>
      <w:bookmarkStart w:id="137" w:name="_Toc13619"/>
      <w:r>
        <w:rPr>
          <w:rFonts w:ascii="Rockwell" w:hAnsi="Rockwell" w:cs="Rockwell"/>
          <w:b/>
          <w:sz w:val="24"/>
          <w:szCs w:val="24"/>
        </w:rPr>
        <w:t>3.2.10 Safety and Security</w:t>
      </w:r>
      <w:bookmarkEnd w:id="135"/>
      <w:bookmarkEnd w:id="136"/>
      <w:bookmarkEnd w:id="137"/>
    </w:p>
    <w:p w:rsidR="00CE5995" w:rsidRDefault="00D37047" w:rsidP="00197AFF">
      <w:pPr>
        <w:pStyle w:val="ListParagraph"/>
        <w:numPr>
          <w:ilvl w:val="0"/>
          <w:numId w:val="25"/>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Explain the safety measures implemented to prevent access to surface openings, excavations and arrangements proposed during the mine decommissioning before the site is </w:t>
      </w:r>
      <w:r w:rsidR="00CE3F54">
        <w:rPr>
          <w:rFonts w:ascii="Rockwell" w:hAnsi="Rockwell" w:cs="Rockwell"/>
          <w:sz w:val="24"/>
          <w:szCs w:val="24"/>
        </w:rPr>
        <w:t>subjected to a compatible after-</w:t>
      </w:r>
      <w:r>
        <w:rPr>
          <w:rFonts w:ascii="Rockwell" w:hAnsi="Rockwell" w:cs="Rockwell"/>
          <w:sz w:val="24"/>
          <w:szCs w:val="24"/>
        </w:rPr>
        <w:t>use plan.</w:t>
      </w:r>
    </w:p>
    <w:p w:rsidR="00CE5995" w:rsidRDefault="00D37047" w:rsidP="00197AFF">
      <w:pPr>
        <w:pStyle w:val="ListParagraph"/>
        <w:numPr>
          <w:ilvl w:val="0"/>
          <w:numId w:val="25"/>
        </w:numPr>
        <w:tabs>
          <w:tab w:val="left" w:pos="420"/>
        </w:tabs>
        <w:spacing w:line="360" w:lineRule="auto"/>
        <w:jc w:val="both"/>
        <w:rPr>
          <w:rFonts w:ascii="Rockwell" w:hAnsi="Rockwell" w:cs="Rockwell"/>
          <w:sz w:val="24"/>
          <w:szCs w:val="24"/>
        </w:rPr>
      </w:pPr>
      <w:r>
        <w:rPr>
          <w:rFonts w:ascii="Rockwell" w:hAnsi="Rockwell" w:cs="Rockwell"/>
          <w:sz w:val="24"/>
          <w:szCs w:val="24"/>
        </w:rPr>
        <w:t>Occupational safety and health requirements should be observed</w:t>
      </w:r>
      <w:r w:rsidR="001A0608">
        <w:rPr>
          <w:rFonts w:ascii="Rockwell" w:hAnsi="Rockwell" w:cs="Rockwell"/>
          <w:sz w:val="24"/>
          <w:szCs w:val="24"/>
        </w:rPr>
        <w:t>.</w:t>
      </w:r>
    </w:p>
    <w:p w:rsidR="00CE5995" w:rsidRDefault="00CE5995">
      <w:pPr>
        <w:pStyle w:val="ListParagraph"/>
        <w:numPr>
          <w:ilvl w:val="255"/>
          <w:numId w:val="0"/>
        </w:numPr>
        <w:spacing w:line="360" w:lineRule="auto"/>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138" w:name="_Toc7559"/>
      <w:bookmarkStart w:id="139" w:name="_Toc20892"/>
      <w:bookmarkStart w:id="140" w:name="_Toc8717"/>
      <w:r>
        <w:rPr>
          <w:rFonts w:ascii="Rockwell" w:hAnsi="Rockwell" w:cs="Rockwell"/>
          <w:b/>
          <w:sz w:val="24"/>
          <w:szCs w:val="24"/>
        </w:rPr>
        <w:t>3.2.11 Disaster Management and Risk Assessment</w:t>
      </w:r>
      <w:bookmarkEnd w:id="138"/>
      <w:bookmarkEnd w:id="139"/>
      <w:bookmarkEnd w:id="140"/>
    </w:p>
    <w:p w:rsidR="00CE5995" w:rsidRDefault="00D37047" w:rsidP="00197AFF">
      <w:pPr>
        <w:pStyle w:val="ListParagraph"/>
        <w:numPr>
          <w:ilvl w:val="0"/>
          <w:numId w:val="26"/>
        </w:numPr>
        <w:tabs>
          <w:tab w:val="left" w:pos="420"/>
        </w:tabs>
        <w:spacing w:line="360" w:lineRule="auto"/>
        <w:jc w:val="both"/>
        <w:rPr>
          <w:rFonts w:ascii="Rockwell" w:hAnsi="Rockwell" w:cs="Rockwell"/>
          <w:sz w:val="24"/>
          <w:szCs w:val="24"/>
        </w:rPr>
      </w:pPr>
      <w:r>
        <w:rPr>
          <w:rFonts w:ascii="Rockwell" w:hAnsi="Rockwell" w:cs="Rockwell"/>
          <w:sz w:val="24"/>
          <w:szCs w:val="24"/>
        </w:rPr>
        <w:t>This should deal with action plan for high risk accidents like landslides, su</w:t>
      </w:r>
      <w:r w:rsidR="001A0608">
        <w:rPr>
          <w:rFonts w:ascii="Rockwell" w:hAnsi="Rockwell" w:cs="Rockwell"/>
          <w:sz w:val="24"/>
          <w:szCs w:val="24"/>
        </w:rPr>
        <w:t xml:space="preserve">bsidence flood, </w:t>
      </w:r>
      <w:proofErr w:type="gramStart"/>
      <w:r w:rsidR="001A0608">
        <w:rPr>
          <w:rFonts w:ascii="Rockwell" w:hAnsi="Rockwell" w:cs="Rockwell"/>
          <w:sz w:val="24"/>
          <w:szCs w:val="24"/>
        </w:rPr>
        <w:t>inundation</w:t>
      </w:r>
      <w:proofErr w:type="gramEnd"/>
      <w:r>
        <w:rPr>
          <w:rFonts w:ascii="Rockwell" w:hAnsi="Rockwell" w:cs="Rockwell"/>
          <w:sz w:val="24"/>
          <w:szCs w:val="24"/>
        </w:rPr>
        <w:t xml:space="preserve"> in underground mines, fire, seismic activities, tailing dam failure and emergency plan proposed for quick evacuation</w:t>
      </w:r>
      <w:r w:rsidR="001A0608">
        <w:rPr>
          <w:rFonts w:ascii="Rockwell" w:hAnsi="Rockwell" w:cs="Rockwell"/>
          <w:sz w:val="24"/>
          <w:szCs w:val="24"/>
        </w:rPr>
        <w:t xml:space="preserve"> and</w:t>
      </w:r>
      <w:r>
        <w:rPr>
          <w:rFonts w:ascii="Rockwell" w:hAnsi="Rockwell" w:cs="Rockwell"/>
          <w:sz w:val="24"/>
          <w:szCs w:val="24"/>
        </w:rPr>
        <w:t xml:space="preserve"> ameliorative measures to be taken. </w:t>
      </w:r>
    </w:p>
    <w:p w:rsidR="00CE5995" w:rsidRDefault="00D37047" w:rsidP="00197AFF">
      <w:pPr>
        <w:pStyle w:val="ListParagraph"/>
        <w:numPr>
          <w:ilvl w:val="0"/>
          <w:numId w:val="26"/>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The capability of </w:t>
      </w:r>
      <w:r w:rsidR="001A0608">
        <w:rPr>
          <w:rFonts w:ascii="Rockwell" w:hAnsi="Rockwell" w:cs="Rockwell"/>
          <w:sz w:val="24"/>
          <w:szCs w:val="24"/>
        </w:rPr>
        <w:t>the mine owner and operator</w:t>
      </w:r>
      <w:r>
        <w:rPr>
          <w:rFonts w:ascii="Rockwell" w:hAnsi="Rockwell" w:cs="Rockwell"/>
          <w:sz w:val="24"/>
          <w:szCs w:val="24"/>
        </w:rPr>
        <w:t xml:space="preserve"> to meet such eventualities and the assistance to be required from the </w:t>
      </w:r>
      <w:r w:rsidR="00CE3F54">
        <w:rPr>
          <w:rFonts w:ascii="Rockwell" w:hAnsi="Rockwell" w:cs="Rockwell"/>
          <w:sz w:val="24"/>
          <w:szCs w:val="24"/>
        </w:rPr>
        <w:t>National and County Governments</w:t>
      </w:r>
      <w:r>
        <w:rPr>
          <w:rFonts w:ascii="Rockwell" w:hAnsi="Rockwell" w:cs="Rockwell"/>
          <w:sz w:val="24"/>
          <w:szCs w:val="24"/>
        </w:rPr>
        <w:t xml:space="preserve"> should also </w:t>
      </w:r>
      <w:r>
        <w:rPr>
          <w:rFonts w:ascii="Rockwell" w:hAnsi="Rockwell" w:cs="Rockwell"/>
          <w:sz w:val="24"/>
          <w:szCs w:val="24"/>
        </w:rPr>
        <w:lastRenderedPageBreak/>
        <w:t>be described.</w:t>
      </w:r>
    </w:p>
    <w:p w:rsidR="00CE5995" w:rsidRDefault="00CE5995">
      <w:pPr>
        <w:pStyle w:val="ListParagraph"/>
        <w:numPr>
          <w:ilvl w:val="255"/>
          <w:numId w:val="0"/>
        </w:numPr>
        <w:spacing w:line="360" w:lineRule="auto"/>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141" w:name="_Toc1558"/>
      <w:bookmarkStart w:id="142" w:name="_Toc25892"/>
      <w:bookmarkStart w:id="143" w:name="_Toc11648"/>
      <w:r>
        <w:rPr>
          <w:rFonts w:ascii="Rockwell" w:hAnsi="Rockwell" w:cs="Rockwell"/>
          <w:b/>
          <w:sz w:val="24"/>
          <w:szCs w:val="24"/>
        </w:rPr>
        <w:t>3.2.12 Care and maintenance during temporary discontinuance</w:t>
      </w:r>
      <w:bookmarkEnd w:id="141"/>
      <w:bookmarkEnd w:id="142"/>
      <w:bookmarkEnd w:id="143"/>
    </w:p>
    <w:p w:rsidR="00CE5995" w:rsidRDefault="00D37047" w:rsidP="00197AFF">
      <w:pPr>
        <w:pStyle w:val="ListParagraph"/>
        <w:numPr>
          <w:ilvl w:val="0"/>
          <w:numId w:val="27"/>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Provide an emergency plan for the situation of temporary discontinuance or incomplete </w:t>
      </w:r>
      <w:proofErr w:type="spellStart"/>
      <w:r>
        <w:rPr>
          <w:rFonts w:ascii="Rockwell" w:hAnsi="Rockwell" w:cs="Rockwell"/>
          <w:sz w:val="24"/>
          <w:szCs w:val="24"/>
        </w:rPr>
        <w:t>programme</w:t>
      </w:r>
      <w:proofErr w:type="spellEnd"/>
      <w:r>
        <w:rPr>
          <w:rFonts w:ascii="Rockwell" w:hAnsi="Rockwell" w:cs="Rockwell"/>
          <w:sz w:val="24"/>
          <w:szCs w:val="24"/>
        </w:rPr>
        <w:t xml:space="preserve"> due to court order or statutory requirements or any other unforeseen circumstances. This should include a plan indicating measures of care, maintenance and monitoring of status of unplanned discontinued mining operations expected to re-open in near future. </w:t>
      </w:r>
    </w:p>
    <w:p w:rsidR="00CE5995" w:rsidRDefault="00D37047" w:rsidP="00197AFF">
      <w:pPr>
        <w:pStyle w:val="ListParagraph"/>
        <w:numPr>
          <w:ilvl w:val="0"/>
          <w:numId w:val="27"/>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This should detail </w:t>
      </w:r>
      <w:r w:rsidR="00B57C11">
        <w:rPr>
          <w:rFonts w:ascii="Rockwell" w:hAnsi="Rockwell" w:cs="Rockwell"/>
          <w:sz w:val="24"/>
          <w:szCs w:val="24"/>
        </w:rPr>
        <w:t xml:space="preserve">periodic and objective </w:t>
      </w:r>
      <w:r>
        <w:rPr>
          <w:rFonts w:ascii="Rockwell" w:hAnsi="Rockwell" w:cs="Rockwell"/>
          <w:sz w:val="24"/>
          <w:szCs w:val="24"/>
        </w:rPr>
        <w:t>monitoring and maintenance</w:t>
      </w:r>
      <w:r w:rsidR="00B57C11">
        <w:rPr>
          <w:rFonts w:ascii="Rockwell" w:hAnsi="Rockwell" w:cs="Rockwell"/>
          <w:sz w:val="24"/>
          <w:szCs w:val="24"/>
        </w:rPr>
        <w:t xml:space="preserve"> </w:t>
      </w:r>
      <w:proofErr w:type="spellStart"/>
      <w:r w:rsidR="00B57C11">
        <w:rPr>
          <w:rFonts w:ascii="Rockwell" w:hAnsi="Rockwell" w:cs="Rockwell"/>
          <w:sz w:val="24"/>
          <w:szCs w:val="24"/>
        </w:rPr>
        <w:t>programme</w:t>
      </w:r>
      <w:proofErr w:type="spellEnd"/>
      <w:r>
        <w:rPr>
          <w:rFonts w:ascii="Rockwell" w:hAnsi="Rockwell" w:cs="Rockwell"/>
          <w:sz w:val="24"/>
          <w:szCs w:val="24"/>
        </w:rPr>
        <w:t>.</w:t>
      </w:r>
    </w:p>
    <w:p w:rsidR="00CE5995" w:rsidRDefault="00CE5995">
      <w:pPr>
        <w:pStyle w:val="ListParagraph"/>
        <w:numPr>
          <w:ilvl w:val="255"/>
          <w:numId w:val="0"/>
        </w:numPr>
        <w:spacing w:line="360" w:lineRule="auto"/>
        <w:jc w:val="both"/>
        <w:rPr>
          <w:rFonts w:ascii="Rockwell" w:hAnsi="Rockwell" w:cs="Rockwell"/>
          <w:sz w:val="24"/>
          <w:szCs w:val="24"/>
        </w:rPr>
      </w:pPr>
    </w:p>
    <w:p w:rsidR="00CE5995" w:rsidRDefault="007608E8">
      <w:pPr>
        <w:pStyle w:val="ListParagraph"/>
        <w:numPr>
          <w:ilvl w:val="255"/>
          <w:numId w:val="0"/>
        </w:numPr>
        <w:spacing w:line="360" w:lineRule="auto"/>
        <w:ind w:left="360"/>
        <w:jc w:val="both"/>
        <w:outlineLvl w:val="1"/>
        <w:rPr>
          <w:rFonts w:ascii="Rockwell" w:hAnsi="Rockwell" w:cs="Rockwell"/>
          <w:b/>
          <w:bCs/>
          <w:sz w:val="24"/>
          <w:szCs w:val="24"/>
        </w:rPr>
      </w:pPr>
      <w:bookmarkStart w:id="144" w:name="_Toc16306"/>
      <w:bookmarkStart w:id="145" w:name="_Toc8020"/>
      <w:bookmarkStart w:id="146" w:name="_Toc22806"/>
      <w:r>
        <w:rPr>
          <w:rFonts w:ascii="Rockwell" w:hAnsi="Rockwell" w:cs="Rockwell"/>
          <w:b/>
          <w:bCs/>
          <w:sz w:val="24"/>
          <w:szCs w:val="24"/>
        </w:rPr>
        <w:t>3.2.13 Visual A</w:t>
      </w:r>
      <w:r w:rsidR="00D37047">
        <w:rPr>
          <w:rFonts w:ascii="Rockwell" w:hAnsi="Rockwell" w:cs="Rockwell"/>
          <w:b/>
          <w:bCs/>
          <w:sz w:val="24"/>
          <w:szCs w:val="24"/>
        </w:rPr>
        <w:t>menity</w:t>
      </w:r>
      <w:bookmarkEnd w:id="144"/>
      <w:bookmarkEnd w:id="145"/>
      <w:bookmarkEnd w:id="146"/>
    </w:p>
    <w:p w:rsidR="00CE5995" w:rsidRDefault="00D37047" w:rsidP="00197AFF">
      <w:pPr>
        <w:pStyle w:val="ListParagraph"/>
        <w:numPr>
          <w:ilvl w:val="0"/>
          <w:numId w:val="28"/>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Reference should be made to the aesthetic baseline of the site prior to the mining operations. </w:t>
      </w:r>
    </w:p>
    <w:p w:rsidR="00CE5995" w:rsidRDefault="00D37047" w:rsidP="00197AFF">
      <w:pPr>
        <w:pStyle w:val="ListParagraph"/>
        <w:numPr>
          <w:ilvl w:val="0"/>
          <w:numId w:val="28"/>
        </w:numPr>
        <w:tabs>
          <w:tab w:val="left" w:pos="420"/>
        </w:tabs>
        <w:spacing w:line="360" w:lineRule="auto"/>
        <w:jc w:val="both"/>
        <w:rPr>
          <w:rFonts w:ascii="Rockwell" w:hAnsi="Rockwell" w:cs="Rockwell"/>
          <w:sz w:val="24"/>
          <w:szCs w:val="24"/>
        </w:rPr>
      </w:pPr>
      <w:r>
        <w:rPr>
          <w:rFonts w:ascii="Rockwell" w:hAnsi="Rockwell" w:cs="Rockwell"/>
          <w:sz w:val="24"/>
          <w:szCs w:val="24"/>
        </w:rPr>
        <w:t>The state of aesthetic recovery in comparison with the surrounding area</w:t>
      </w:r>
      <w:r w:rsidR="00391E3A">
        <w:rPr>
          <w:rFonts w:ascii="Rockwell" w:hAnsi="Rockwell" w:cs="Rockwell"/>
          <w:sz w:val="24"/>
          <w:szCs w:val="24"/>
        </w:rPr>
        <w:t>.</w:t>
      </w:r>
    </w:p>
    <w:p w:rsidR="00CE5995" w:rsidRDefault="00FE7C96" w:rsidP="00197AFF">
      <w:pPr>
        <w:pStyle w:val="ListParagraph"/>
        <w:numPr>
          <w:ilvl w:val="0"/>
          <w:numId w:val="28"/>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 Develop compatible after-</w:t>
      </w:r>
      <w:r w:rsidR="00D37047">
        <w:rPr>
          <w:rFonts w:ascii="Rockwell" w:hAnsi="Rockwell" w:cs="Rockwell"/>
          <w:sz w:val="24"/>
          <w:szCs w:val="24"/>
        </w:rPr>
        <w:t>use plans in consultation with the PAPs and other stakeholders</w:t>
      </w:r>
      <w:r w:rsidR="00391E3A">
        <w:rPr>
          <w:rFonts w:ascii="Rockwell" w:hAnsi="Rockwell" w:cs="Rockwell"/>
          <w:sz w:val="24"/>
          <w:szCs w:val="24"/>
        </w:rPr>
        <w:t>.</w:t>
      </w:r>
      <w:r w:rsidR="00D37047">
        <w:rPr>
          <w:rFonts w:ascii="Rockwell" w:hAnsi="Rockwell" w:cs="Rockwell"/>
          <w:sz w:val="24"/>
          <w:szCs w:val="24"/>
        </w:rPr>
        <w:t xml:space="preserve"> </w:t>
      </w:r>
    </w:p>
    <w:p w:rsidR="00CE5995" w:rsidRDefault="00CE5995">
      <w:pPr>
        <w:pStyle w:val="ListParagraph"/>
        <w:numPr>
          <w:ilvl w:val="255"/>
          <w:numId w:val="0"/>
        </w:numPr>
        <w:spacing w:line="360" w:lineRule="auto"/>
        <w:jc w:val="both"/>
        <w:rPr>
          <w:rFonts w:ascii="Rockwell" w:hAnsi="Rockwell" w:cs="Rockwell"/>
          <w:sz w:val="24"/>
          <w:szCs w:val="24"/>
        </w:rPr>
      </w:pPr>
    </w:p>
    <w:p w:rsidR="00CE5995" w:rsidRDefault="00391E3A">
      <w:pPr>
        <w:pStyle w:val="ListParagraph"/>
        <w:numPr>
          <w:ilvl w:val="255"/>
          <w:numId w:val="0"/>
        </w:numPr>
        <w:spacing w:line="360" w:lineRule="auto"/>
        <w:ind w:left="360"/>
        <w:jc w:val="both"/>
        <w:outlineLvl w:val="1"/>
        <w:rPr>
          <w:rFonts w:ascii="Rockwell" w:hAnsi="Rockwell" w:cs="Rockwell"/>
          <w:b/>
          <w:bCs/>
          <w:sz w:val="24"/>
          <w:szCs w:val="24"/>
        </w:rPr>
      </w:pPr>
      <w:bookmarkStart w:id="147" w:name="_Toc10101"/>
      <w:bookmarkStart w:id="148" w:name="_Toc1561"/>
      <w:bookmarkStart w:id="149" w:name="_Toc24759"/>
      <w:r>
        <w:rPr>
          <w:rFonts w:ascii="Rockwell" w:hAnsi="Rockwell" w:cs="Rockwell"/>
          <w:b/>
          <w:bCs/>
          <w:sz w:val="24"/>
          <w:szCs w:val="24"/>
        </w:rPr>
        <w:t>3.2.14 Heritage and Cultural A</w:t>
      </w:r>
      <w:r w:rsidR="00D37047">
        <w:rPr>
          <w:rFonts w:ascii="Rockwell" w:hAnsi="Rockwell" w:cs="Rockwell"/>
          <w:b/>
          <w:bCs/>
          <w:sz w:val="24"/>
          <w:szCs w:val="24"/>
        </w:rPr>
        <w:t>spects</w:t>
      </w:r>
      <w:bookmarkEnd w:id="147"/>
      <w:bookmarkEnd w:id="148"/>
      <w:bookmarkEnd w:id="149"/>
    </w:p>
    <w:p w:rsidR="00CE5995" w:rsidRDefault="00D37047" w:rsidP="00197AFF">
      <w:pPr>
        <w:pStyle w:val="ListParagraph"/>
        <w:numPr>
          <w:ilvl w:val="0"/>
          <w:numId w:val="29"/>
        </w:numPr>
        <w:tabs>
          <w:tab w:val="left" w:pos="420"/>
        </w:tabs>
        <w:spacing w:line="360" w:lineRule="auto"/>
        <w:jc w:val="both"/>
        <w:rPr>
          <w:rFonts w:ascii="Rockwell" w:hAnsi="Rockwell" w:cs="Rockwell"/>
          <w:sz w:val="24"/>
          <w:szCs w:val="24"/>
        </w:rPr>
      </w:pPr>
      <w:r>
        <w:rPr>
          <w:rFonts w:ascii="Rockwell" w:hAnsi="Rockwell" w:cs="Rockwell"/>
          <w:sz w:val="24"/>
          <w:szCs w:val="24"/>
        </w:rPr>
        <w:t>Protection o</w:t>
      </w:r>
      <w:r w:rsidR="001A6076">
        <w:rPr>
          <w:rFonts w:ascii="Rockwell" w:hAnsi="Rockwell" w:cs="Rockwell"/>
          <w:sz w:val="24"/>
          <w:szCs w:val="24"/>
        </w:rPr>
        <w:t xml:space="preserve">f heritage and cultural site - </w:t>
      </w:r>
      <w:r>
        <w:rPr>
          <w:rFonts w:ascii="Rockwell" w:hAnsi="Rockwell" w:cs="Rockwell"/>
          <w:sz w:val="24"/>
          <w:szCs w:val="24"/>
        </w:rPr>
        <w:t>mineral extracti</w:t>
      </w:r>
      <w:r w:rsidR="00FE7C96">
        <w:rPr>
          <w:rFonts w:ascii="Rockwell" w:hAnsi="Rockwell" w:cs="Rockwell"/>
          <w:sz w:val="24"/>
          <w:szCs w:val="24"/>
        </w:rPr>
        <w:t xml:space="preserve">ons should not be undertaken </w:t>
      </w:r>
      <w:r>
        <w:rPr>
          <w:rFonts w:ascii="Rockwell" w:hAnsi="Rockwell" w:cs="Rockwell"/>
          <w:sz w:val="24"/>
          <w:szCs w:val="24"/>
        </w:rPr>
        <w:t>within the heritage and cultural sites.</w:t>
      </w:r>
    </w:p>
    <w:p w:rsidR="00CE5995" w:rsidRDefault="00D37047" w:rsidP="00197AFF">
      <w:pPr>
        <w:pStyle w:val="ListParagraph"/>
        <w:numPr>
          <w:ilvl w:val="0"/>
          <w:numId w:val="29"/>
        </w:numPr>
        <w:tabs>
          <w:tab w:val="left" w:pos="420"/>
        </w:tabs>
        <w:spacing w:line="360" w:lineRule="auto"/>
        <w:jc w:val="both"/>
        <w:rPr>
          <w:rFonts w:ascii="Rockwell" w:hAnsi="Rockwell" w:cs="Rockwell"/>
          <w:sz w:val="24"/>
          <w:szCs w:val="24"/>
        </w:rPr>
      </w:pPr>
      <w:r>
        <w:rPr>
          <w:rFonts w:ascii="Rockwell" w:hAnsi="Rockwell" w:cs="Rockwell"/>
          <w:sz w:val="24"/>
          <w:szCs w:val="24"/>
        </w:rPr>
        <w:t>Any decommissioning and restoration activities must avoid the heritage and cultural sites around the mining site</w:t>
      </w:r>
    </w:p>
    <w:p w:rsidR="00CE5995" w:rsidRDefault="00D37047" w:rsidP="00197AFF">
      <w:pPr>
        <w:pStyle w:val="ListParagraph"/>
        <w:numPr>
          <w:ilvl w:val="0"/>
          <w:numId w:val="29"/>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Provide information on existing </w:t>
      </w:r>
      <w:r w:rsidR="00FE7C96">
        <w:rPr>
          <w:rFonts w:ascii="Rockwell" w:hAnsi="Rockwell" w:cs="Rockwell"/>
          <w:sz w:val="24"/>
          <w:szCs w:val="24"/>
        </w:rPr>
        <w:t xml:space="preserve">World Heritage and Cultural </w:t>
      </w:r>
      <w:r>
        <w:rPr>
          <w:rFonts w:ascii="Rockwell" w:hAnsi="Rockwell" w:cs="Rockwell"/>
          <w:sz w:val="24"/>
          <w:szCs w:val="24"/>
        </w:rPr>
        <w:t xml:space="preserve">sites around the mine sites </w:t>
      </w:r>
    </w:p>
    <w:p w:rsidR="00CE5995" w:rsidRDefault="00FE7C96" w:rsidP="00197AFF">
      <w:pPr>
        <w:pStyle w:val="ListParagraph"/>
        <w:numPr>
          <w:ilvl w:val="0"/>
          <w:numId w:val="29"/>
        </w:numPr>
        <w:tabs>
          <w:tab w:val="left" w:pos="420"/>
        </w:tabs>
        <w:spacing w:line="360" w:lineRule="auto"/>
        <w:jc w:val="both"/>
        <w:rPr>
          <w:rFonts w:ascii="Rockwell" w:hAnsi="Rockwell" w:cs="Rockwell"/>
          <w:sz w:val="24"/>
          <w:szCs w:val="24"/>
        </w:rPr>
      </w:pPr>
      <w:r>
        <w:rPr>
          <w:rFonts w:ascii="Rockwell" w:hAnsi="Rockwell" w:cs="Rockwell"/>
          <w:sz w:val="24"/>
          <w:szCs w:val="24"/>
        </w:rPr>
        <w:t>Submit an undertaking on non-</w:t>
      </w:r>
      <w:r w:rsidR="00D37047">
        <w:rPr>
          <w:rFonts w:ascii="Rockwell" w:hAnsi="Rockwell" w:cs="Rockwell"/>
          <w:sz w:val="24"/>
          <w:szCs w:val="24"/>
        </w:rPr>
        <w:t xml:space="preserve">interference with the listed heritage and cultural site around the mine site </w:t>
      </w:r>
    </w:p>
    <w:p w:rsidR="00CE5995" w:rsidRDefault="00D37047" w:rsidP="00197AFF">
      <w:pPr>
        <w:pStyle w:val="ListParagraph"/>
        <w:numPr>
          <w:ilvl w:val="0"/>
          <w:numId w:val="29"/>
        </w:numPr>
        <w:tabs>
          <w:tab w:val="left" w:pos="420"/>
        </w:tabs>
        <w:spacing w:line="360" w:lineRule="auto"/>
        <w:jc w:val="both"/>
        <w:rPr>
          <w:rFonts w:ascii="Rockwell" w:hAnsi="Rockwell" w:cs="Rockwell"/>
          <w:sz w:val="24"/>
          <w:szCs w:val="24"/>
        </w:rPr>
      </w:pPr>
      <w:r>
        <w:rPr>
          <w:rFonts w:ascii="Rockwell" w:hAnsi="Rockwell" w:cs="Rockwell"/>
          <w:sz w:val="24"/>
          <w:szCs w:val="24"/>
        </w:rPr>
        <w:t>Provide information on the restricted no-go cultural sites and measures taken in liaison with the N</w:t>
      </w:r>
      <w:r w:rsidR="00FE7C96">
        <w:rPr>
          <w:rFonts w:ascii="Rockwell" w:hAnsi="Rockwell" w:cs="Rockwell"/>
          <w:sz w:val="24"/>
          <w:szCs w:val="24"/>
        </w:rPr>
        <w:t xml:space="preserve">ational </w:t>
      </w:r>
      <w:r>
        <w:rPr>
          <w:rFonts w:ascii="Rockwell" w:hAnsi="Rockwell" w:cs="Rockwell"/>
          <w:sz w:val="24"/>
          <w:szCs w:val="24"/>
        </w:rPr>
        <w:t>M</w:t>
      </w:r>
      <w:r w:rsidR="00FE7C96">
        <w:rPr>
          <w:rFonts w:ascii="Rockwell" w:hAnsi="Rockwell" w:cs="Rockwell"/>
          <w:sz w:val="24"/>
          <w:szCs w:val="24"/>
        </w:rPr>
        <w:t xml:space="preserve">useums of </w:t>
      </w:r>
      <w:r>
        <w:rPr>
          <w:rFonts w:ascii="Rockwell" w:hAnsi="Rockwell" w:cs="Rockwell"/>
          <w:sz w:val="24"/>
          <w:szCs w:val="24"/>
        </w:rPr>
        <w:t>K</w:t>
      </w:r>
      <w:r w:rsidR="00FE7C96">
        <w:rPr>
          <w:rFonts w:ascii="Rockwell" w:hAnsi="Rockwell" w:cs="Rockwell"/>
          <w:sz w:val="24"/>
          <w:szCs w:val="24"/>
        </w:rPr>
        <w:t>enya (NMK)</w:t>
      </w:r>
      <w:r>
        <w:rPr>
          <w:rFonts w:ascii="Rockwell" w:hAnsi="Rockwell" w:cs="Rockwell"/>
          <w:sz w:val="24"/>
          <w:szCs w:val="24"/>
        </w:rPr>
        <w:t xml:space="preserve"> to protect these sites.</w:t>
      </w:r>
    </w:p>
    <w:p w:rsidR="00CE5995" w:rsidRDefault="00CE5995">
      <w:pPr>
        <w:pStyle w:val="ListParagraph"/>
        <w:spacing w:line="360" w:lineRule="auto"/>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150" w:name="_Toc10011"/>
      <w:bookmarkStart w:id="151" w:name="_Toc30397"/>
      <w:bookmarkStart w:id="152" w:name="_Toc3613"/>
      <w:r>
        <w:rPr>
          <w:rFonts w:ascii="Rockwell" w:hAnsi="Rockwell" w:cs="Rockwell"/>
          <w:b/>
          <w:sz w:val="24"/>
          <w:szCs w:val="24"/>
        </w:rPr>
        <w:lastRenderedPageBreak/>
        <w:t>3.2.15 Post-Mining Land Use and Closure Objectives</w:t>
      </w:r>
      <w:bookmarkEnd w:id="150"/>
      <w:bookmarkEnd w:id="151"/>
      <w:bookmarkEnd w:id="152"/>
      <w:r>
        <w:rPr>
          <w:rFonts w:ascii="Rockwell" w:hAnsi="Rockwell" w:cs="Rockwell"/>
          <w:b/>
          <w:sz w:val="24"/>
          <w:szCs w:val="24"/>
        </w:rPr>
        <w:tab/>
      </w: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The mine site decommissioning plan should identify all potential (or pre-existing) environmental legacies (including contaminated sites) which may restrict the post-mining land use. The following land use hierarchy provides a guide to determining post-mining land use(s): </w:t>
      </w:r>
    </w:p>
    <w:p w:rsidR="00DA0CE6" w:rsidRPr="00DA0CE6" w:rsidRDefault="00D37047" w:rsidP="00DA0CE6">
      <w:pPr>
        <w:numPr>
          <w:ilvl w:val="0"/>
          <w:numId w:val="8"/>
        </w:numPr>
        <w:spacing w:line="360" w:lineRule="auto"/>
        <w:ind w:left="845"/>
        <w:jc w:val="both"/>
        <w:rPr>
          <w:rFonts w:ascii="Rockwell" w:hAnsi="Rockwell" w:cs="Rockwell"/>
          <w:sz w:val="24"/>
          <w:szCs w:val="24"/>
        </w:rPr>
      </w:pPr>
      <w:r>
        <w:rPr>
          <w:rFonts w:ascii="Rockwell" w:hAnsi="Rockwell" w:cs="Rockwell"/>
          <w:sz w:val="24"/>
          <w:szCs w:val="24"/>
        </w:rPr>
        <w:t xml:space="preserve">Reinstate “natural” ecosystems to be as similar as possible to the original ecosystem. </w:t>
      </w:r>
      <w:r w:rsidR="00DA0CE6">
        <w:rPr>
          <w:rFonts w:ascii="Rockwell" w:hAnsi="Rockwell" w:cs="Rockwell"/>
          <w:sz w:val="24"/>
          <w:szCs w:val="24"/>
        </w:rPr>
        <w:t>Biodiversity offsets can also be considered as long as no harm is posed to the environment and the public.</w:t>
      </w:r>
    </w:p>
    <w:p w:rsidR="00CE5995" w:rsidRDefault="00D37047">
      <w:pPr>
        <w:numPr>
          <w:ilvl w:val="0"/>
          <w:numId w:val="8"/>
        </w:numPr>
        <w:spacing w:line="360" w:lineRule="auto"/>
        <w:ind w:left="845"/>
        <w:jc w:val="both"/>
        <w:rPr>
          <w:rFonts w:ascii="Rockwell" w:hAnsi="Rockwell" w:cs="Rockwell"/>
          <w:sz w:val="24"/>
          <w:szCs w:val="24"/>
        </w:rPr>
      </w:pPr>
      <w:r>
        <w:rPr>
          <w:rFonts w:ascii="Rockwell" w:hAnsi="Rockwell" w:cs="Rockwell"/>
          <w:sz w:val="24"/>
          <w:szCs w:val="24"/>
        </w:rPr>
        <w:t xml:space="preserve">Develop an alternative land use with higher beneficial uses than the pre-mining land use. </w:t>
      </w:r>
    </w:p>
    <w:p w:rsidR="00CE5995" w:rsidRDefault="00D37047">
      <w:pPr>
        <w:numPr>
          <w:ilvl w:val="0"/>
          <w:numId w:val="8"/>
        </w:numPr>
        <w:spacing w:line="360" w:lineRule="auto"/>
        <w:ind w:left="845"/>
        <w:jc w:val="both"/>
        <w:rPr>
          <w:rFonts w:ascii="Rockwell" w:hAnsi="Rockwell" w:cs="Rockwell"/>
          <w:sz w:val="24"/>
          <w:szCs w:val="24"/>
        </w:rPr>
      </w:pPr>
      <w:r>
        <w:rPr>
          <w:rFonts w:ascii="Rockwell" w:hAnsi="Rockwell" w:cs="Rockwell"/>
          <w:sz w:val="24"/>
          <w:szCs w:val="24"/>
        </w:rPr>
        <w:t xml:space="preserve">Reinstate the pre-mining land use. </w:t>
      </w:r>
    </w:p>
    <w:p w:rsidR="00DA0CE6" w:rsidRDefault="00DA0CE6" w:rsidP="00DA0CE6">
      <w:pPr>
        <w:tabs>
          <w:tab w:val="left" w:pos="425"/>
        </w:tabs>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In the early stages of a mining project, it may be acceptable for provisional or proposed post</w:t>
      </w:r>
      <w:r w:rsidR="00FE7C96">
        <w:rPr>
          <w:rFonts w:ascii="Rockwell" w:hAnsi="Rockwell" w:cs="Rockwell"/>
          <w:sz w:val="24"/>
          <w:szCs w:val="24"/>
        </w:rPr>
        <w:t xml:space="preserve"> </w:t>
      </w:r>
      <w:r>
        <w:rPr>
          <w:rFonts w:ascii="Rockwell" w:hAnsi="Rockwell" w:cs="Rockwell"/>
          <w:sz w:val="24"/>
          <w:szCs w:val="24"/>
        </w:rPr>
        <w:t xml:space="preserve">mining land use(s) to be identified, provided that there has been adequate engagement with the </w:t>
      </w:r>
      <w:r w:rsidR="001B087F">
        <w:rPr>
          <w:rFonts w:ascii="Rockwell" w:hAnsi="Rockwell" w:cs="Rockwell"/>
          <w:sz w:val="24"/>
          <w:szCs w:val="24"/>
        </w:rPr>
        <w:t>g</w:t>
      </w:r>
      <w:r w:rsidR="00FE7C96">
        <w:rPr>
          <w:rFonts w:ascii="Rockwell" w:hAnsi="Rockwell" w:cs="Rockwell"/>
          <w:sz w:val="24"/>
          <w:szCs w:val="24"/>
        </w:rPr>
        <w:t xml:space="preserve">overnment, </w:t>
      </w:r>
      <w:r w:rsidR="00707464">
        <w:rPr>
          <w:rFonts w:ascii="Rockwell" w:hAnsi="Rockwell" w:cs="Rockwell"/>
          <w:sz w:val="24"/>
          <w:szCs w:val="24"/>
        </w:rPr>
        <w:t>PAPs</w:t>
      </w:r>
      <w:r>
        <w:rPr>
          <w:rFonts w:ascii="Rockwell" w:hAnsi="Rockwell" w:cs="Rockwell"/>
          <w:sz w:val="24"/>
          <w:szCs w:val="24"/>
        </w:rPr>
        <w:t>, local communities and other key stakeholders</w:t>
      </w:r>
      <w:r w:rsidR="00707464">
        <w:rPr>
          <w:rFonts w:ascii="Rockwell" w:hAnsi="Rockwell" w:cs="Rockwell"/>
          <w:sz w:val="24"/>
          <w:szCs w:val="24"/>
        </w:rPr>
        <w:t>. A</w:t>
      </w:r>
      <w:r>
        <w:rPr>
          <w:rFonts w:ascii="Rockwell" w:hAnsi="Rockwell" w:cs="Rockwell"/>
          <w:sz w:val="24"/>
          <w:szCs w:val="24"/>
        </w:rPr>
        <w:t xml:space="preserve"> clear process and timelines to further identify or refine the agreed post-mining land use(s), Human Rights-Based Approaches and Grievance Redress Mechanisms (GRM) </w:t>
      </w:r>
      <w:r w:rsidR="00707464">
        <w:rPr>
          <w:rFonts w:ascii="Rockwell" w:hAnsi="Rockwell" w:cs="Rockwell"/>
          <w:sz w:val="24"/>
          <w:szCs w:val="24"/>
        </w:rPr>
        <w:t xml:space="preserve">should be communicated </w:t>
      </w:r>
      <w:r>
        <w:rPr>
          <w:rFonts w:ascii="Rockwell" w:hAnsi="Rockwell" w:cs="Rockwell"/>
          <w:sz w:val="24"/>
          <w:szCs w:val="24"/>
        </w:rPr>
        <w:t xml:space="preserve">as part of the </w:t>
      </w:r>
      <w:r w:rsidR="00707464">
        <w:rPr>
          <w:rFonts w:ascii="Rockwell" w:hAnsi="Rockwell" w:cs="Rockwell"/>
          <w:sz w:val="24"/>
          <w:szCs w:val="24"/>
        </w:rPr>
        <w:t>stakeholders’</w:t>
      </w:r>
      <w:r>
        <w:rPr>
          <w:rFonts w:ascii="Rockwell" w:hAnsi="Rockwell" w:cs="Rockwell"/>
          <w:sz w:val="24"/>
          <w:szCs w:val="24"/>
        </w:rPr>
        <w:t xml:space="preserve"> engagement process.</w:t>
      </w:r>
    </w:p>
    <w:p w:rsidR="00CE5995" w:rsidRDefault="00CE5995">
      <w:pPr>
        <w:pStyle w:val="ListParagraph"/>
        <w:spacing w:line="360" w:lineRule="auto"/>
        <w:jc w:val="both"/>
        <w:rPr>
          <w:rFonts w:ascii="Rockwell" w:hAnsi="Rockwell" w:cs="Rockwell"/>
          <w:b/>
          <w:sz w:val="24"/>
          <w:szCs w:val="24"/>
        </w:rPr>
      </w:pPr>
    </w:p>
    <w:p w:rsidR="00CE5995" w:rsidRDefault="00D37047">
      <w:pPr>
        <w:pStyle w:val="ListParagraph"/>
        <w:spacing w:line="360" w:lineRule="auto"/>
        <w:jc w:val="both"/>
        <w:outlineLvl w:val="1"/>
        <w:rPr>
          <w:rFonts w:ascii="Rockwell" w:hAnsi="Rockwell" w:cs="Rockwell"/>
          <w:b/>
          <w:sz w:val="24"/>
          <w:szCs w:val="24"/>
        </w:rPr>
      </w:pPr>
      <w:bookmarkStart w:id="153" w:name="_Toc25929"/>
      <w:bookmarkStart w:id="154" w:name="_Toc18216"/>
      <w:bookmarkStart w:id="155" w:name="_Toc20158"/>
      <w:r>
        <w:rPr>
          <w:rFonts w:ascii="Rockwell" w:hAnsi="Rockwell" w:cs="Rockwell"/>
          <w:b/>
          <w:sz w:val="24"/>
          <w:szCs w:val="24"/>
        </w:rPr>
        <w:t>3.2.16. Identification of Closure Obligations and Commitments</w:t>
      </w:r>
      <w:bookmarkEnd w:id="153"/>
      <w:bookmarkEnd w:id="154"/>
      <w:bookmarkEnd w:id="155"/>
      <w:r>
        <w:rPr>
          <w:rFonts w:ascii="Rockwell" w:hAnsi="Rockwell" w:cs="Rockwell"/>
          <w:b/>
          <w:sz w:val="24"/>
          <w:szCs w:val="24"/>
        </w:rPr>
        <w:t xml:space="preserve"> </w:t>
      </w:r>
    </w:p>
    <w:p w:rsidR="00CE5995" w:rsidRDefault="00D37047">
      <w:pPr>
        <w:spacing w:line="360" w:lineRule="auto"/>
        <w:jc w:val="both"/>
        <w:rPr>
          <w:rFonts w:ascii="Rockwell" w:hAnsi="Rockwell" w:cs="Rockwell"/>
          <w:sz w:val="24"/>
          <w:szCs w:val="24"/>
        </w:rPr>
      </w:pPr>
      <w:r>
        <w:rPr>
          <w:rFonts w:ascii="Rockwell" w:hAnsi="Rockwell" w:cs="Rockwell"/>
          <w:sz w:val="24"/>
          <w:szCs w:val="24"/>
        </w:rPr>
        <w:t>All legal obligations relevant to rehabilitation and closure at a given mine site must be identified and provided in a suitable format</w:t>
      </w:r>
      <w:r w:rsidR="00581C13">
        <w:rPr>
          <w:rFonts w:ascii="Rockwell" w:hAnsi="Rockwell" w:cs="Rockwell"/>
          <w:sz w:val="24"/>
          <w:szCs w:val="24"/>
        </w:rPr>
        <w:t>. These i</w:t>
      </w:r>
      <w:r>
        <w:rPr>
          <w:rFonts w:ascii="Rockwell" w:hAnsi="Rockwell" w:cs="Rockwell"/>
          <w:sz w:val="24"/>
          <w:szCs w:val="24"/>
        </w:rPr>
        <w:t>nclud</w:t>
      </w:r>
      <w:r w:rsidR="00581C13">
        <w:rPr>
          <w:rFonts w:ascii="Rockwell" w:hAnsi="Rockwell" w:cs="Rockwell"/>
          <w:sz w:val="24"/>
          <w:szCs w:val="24"/>
        </w:rPr>
        <w:t>e</w:t>
      </w:r>
      <w:r>
        <w:rPr>
          <w:rFonts w:ascii="Rockwell" w:hAnsi="Rockwell" w:cs="Rockwell"/>
          <w:sz w:val="24"/>
          <w:szCs w:val="24"/>
        </w:rPr>
        <w:t xml:space="preserve"> all legally binding conditions and commitments and/or legal obligations applicable under relevant National and County legislation</w:t>
      </w:r>
      <w:r w:rsidR="00581C13">
        <w:rPr>
          <w:rFonts w:ascii="Rockwell" w:hAnsi="Rockwell" w:cs="Rockwell"/>
          <w:sz w:val="24"/>
          <w:szCs w:val="24"/>
        </w:rPr>
        <w:t>s</w:t>
      </w:r>
      <w:r>
        <w:rPr>
          <w:rFonts w:ascii="Rockwell" w:hAnsi="Rockwell" w:cs="Rockwell"/>
          <w:sz w:val="24"/>
          <w:szCs w:val="24"/>
        </w:rPr>
        <w:t>. These include:</w:t>
      </w:r>
    </w:p>
    <w:p w:rsidR="00CE5995" w:rsidRDefault="00D37047"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The Mining Act, 2016</w:t>
      </w:r>
    </w:p>
    <w:p w:rsidR="00CE5995" w:rsidRDefault="00D37047"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E</w:t>
      </w:r>
      <w:r w:rsidR="0081491E">
        <w:rPr>
          <w:rFonts w:ascii="Rockwell" w:hAnsi="Rockwell" w:cs="Rockwell"/>
          <w:sz w:val="24"/>
          <w:szCs w:val="24"/>
        </w:rPr>
        <w:t xml:space="preserve">nvironmental </w:t>
      </w:r>
      <w:r>
        <w:rPr>
          <w:rFonts w:ascii="Rockwell" w:hAnsi="Rockwell" w:cs="Rockwell"/>
          <w:sz w:val="24"/>
          <w:szCs w:val="24"/>
        </w:rPr>
        <w:t>M</w:t>
      </w:r>
      <w:r w:rsidR="0081491E">
        <w:rPr>
          <w:rFonts w:ascii="Rockwell" w:hAnsi="Rockwell" w:cs="Rockwell"/>
          <w:sz w:val="24"/>
          <w:szCs w:val="24"/>
        </w:rPr>
        <w:t xml:space="preserve">anagement </w:t>
      </w:r>
      <w:r>
        <w:rPr>
          <w:rFonts w:ascii="Rockwell" w:hAnsi="Rockwell" w:cs="Rockwell"/>
          <w:sz w:val="24"/>
          <w:szCs w:val="24"/>
        </w:rPr>
        <w:t>C</w:t>
      </w:r>
      <w:r w:rsidR="0081491E">
        <w:rPr>
          <w:rFonts w:ascii="Rockwell" w:hAnsi="Rockwell" w:cs="Rockwell"/>
          <w:sz w:val="24"/>
          <w:szCs w:val="24"/>
        </w:rPr>
        <w:t xml:space="preserve">oordination </w:t>
      </w:r>
      <w:r>
        <w:rPr>
          <w:rFonts w:ascii="Rockwell" w:hAnsi="Rockwell" w:cs="Rockwell"/>
          <w:sz w:val="24"/>
          <w:szCs w:val="24"/>
        </w:rPr>
        <w:t>A</w:t>
      </w:r>
      <w:r w:rsidR="0081491E">
        <w:rPr>
          <w:rFonts w:ascii="Rockwell" w:hAnsi="Rockwell" w:cs="Rockwell"/>
          <w:sz w:val="24"/>
          <w:szCs w:val="24"/>
        </w:rPr>
        <w:t>ct</w:t>
      </w:r>
      <w:r>
        <w:rPr>
          <w:rFonts w:ascii="Rockwell" w:hAnsi="Rockwell" w:cs="Rockwell"/>
          <w:sz w:val="24"/>
          <w:szCs w:val="24"/>
        </w:rPr>
        <w:t>, 1999</w:t>
      </w:r>
    </w:p>
    <w:p w:rsidR="00CE5995" w:rsidRDefault="00FE7C96"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O</w:t>
      </w:r>
      <w:r w:rsidR="0081491E">
        <w:rPr>
          <w:rFonts w:ascii="Rockwell" w:hAnsi="Rockwell" w:cs="Rockwell"/>
          <w:sz w:val="24"/>
          <w:szCs w:val="24"/>
        </w:rPr>
        <w:t xml:space="preserve">ccupational </w:t>
      </w:r>
      <w:r>
        <w:rPr>
          <w:rFonts w:ascii="Rockwell" w:hAnsi="Rockwell" w:cs="Rockwell"/>
          <w:sz w:val="24"/>
          <w:szCs w:val="24"/>
        </w:rPr>
        <w:t>S</w:t>
      </w:r>
      <w:r w:rsidR="0081491E">
        <w:rPr>
          <w:rFonts w:ascii="Rockwell" w:hAnsi="Rockwell" w:cs="Rockwell"/>
          <w:sz w:val="24"/>
          <w:szCs w:val="24"/>
        </w:rPr>
        <w:t xml:space="preserve">afety and </w:t>
      </w:r>
      <w:r>
        <w:rPr>
          <w:rFonts w:ascii="Rockwell" w:hAnsi="Rockwell" w:cs="Rockwell"/>
          <w:sz w:val="24"/>
          <w:szCs w:val="24"/>
        </w:rPr>
        <w:t>H</w:t>
      </w:r>
      <w:r w:rsidR="0081491E">
        <w:rPr>
          <w:rFonts w:ascii="Rockwell" w:hAnsi="Rockwell" w:cs="Rockwell"/>
          <w:sz w:val="24"/>
          <w:szCs w:val="24"/>
        </w:rPr>
        <w:t xml:space="preserve">ealth </w:t>
      </w:r>
      <w:r>
        <w:rPr>
          <w:rFonts w:ascii="Rockwell" w:hAnsi="Rockwell" w:cs="Rockwell"/>
          <w:sz w:val="24"/>
          <w:szCs w:val="24"/>
        </w:rPr>
        <w:t>A</w:t>
      </w:r>
      <w:r w:rsidR="0081491E">
        <w:rPr>
          <w:rFonts w:ascii="Rockwell" w:hAnsi="Rockwell" w:cs="Rockwell"/>
          <w:sz w:val="24"/>
          <w:szCs w:val="24"/>
        </w:rPr>
        <w:t>ct</w:t>
      </w:r>
      <w:r>
        <w:rPr>
          <w:rFonts w:ascii="Rockwell" w:hAnsi="Rockwell" w:cs="Rockwell"/>
          <w:sz w:val="24"/>
          <w:szCs w:val="24"/>
        </w:rPr>
        <w:t xml:space="preserve"> </w:t>
      </w:r>
      <w:r w:rsidR="00D37047">
        <w:rPr>
          <w:rFonts w:ascii="Rockwell" w:hAnsi="Rockwell" w:cs="Rockwell"/>
          <w:sz w:val="24"/>
          <w:szCs w:val="24"/>
        </w:rPr>
        <w:t>, 2007</w:t>
      </w:r>
    </w:p>
    <w:p w:rsidR="00CE5995" w:rsidRDefault="00D37047"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The Water Act, 2016</w:t>
      </w:r>
    </w:p>
    <w:p w:rsidR="00CE5995" w:rsidRDefault="00D37047"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The Land Act, 2012</w:t>
      </w:r>
    </w:p>
    <w:p w:rsidR="00EF5B81" w:rsidRDefault="00D37047"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lastRenderedPageBreak/>
        <w:t>The Physical and Land Use Planning Act, 2019</w:t>
      </w:r>
    </w:p>
    <w:p w:rsidR="00EF5B81" w:rsidRPr="00EF5B81" w:rsidRDefault="00EF5B81" w:rsidP="00197AFF">
      <w:pPr>
        <w:numPr>
          <w:ilvl w:val="0"/>
          <w:numId w:val="30"/>
        </w:numPr>
        <w:tabs>
          <w:tab w:val="left" w:pos="420"/>
        </w:tabs>
        <w:spacing w:line="360" w:lineRule="auto"/>
        <w:jc w:val="both"/>
        <w:rPr>
          <w:rFonts w:ascii="Rockwell" w:hAnsi="Rockwell" w:cs="Rockwell"/>
          <w:sz w:val="24"/>
          <w:szCs w:val="24"/>
        </w:rPr>
      </w:pPr>
      <w:r w:rsidRPr="00EF5B81">
        <w:rPr>
          <w:rFonts w:ascii="Rockwell" w:hAnsi="Rockwell" w:cs="Rockwell"/>
          <w:sz w:val="24"/>
          <w:szCs w:val="24"/>
        </w:rPr>
        <w:t xml:space="preserve">Agriculture </w:t>
      </w:r>
      <w:r>
        <w:rPr>
          <w:rFonts w:ascii="Rockwell" w:hAnsi="Rockwell" w:cs="Rockwell"/>
          <w:sz w:val="24"/>
          <w:szCs w:val="24"/>
        </w:rPr>
        <w:t xml:space="preserve">Fisheries and Food Authority </w:t>
      </w:r>
      <w:r w:rsidRPr="00EF5B81">
        <w:rPr>
          <w:rFonts w:ascii="Rockwell" w:hAnsi="Rockwell" w:cs="Rockwell"/>
          <w:sz w:val="24"/>
          <w:szCs w:val="24"/>
        </w:rPr>
        <w:t>A</w:t>
      </w:r>
      <w:r>
        <w:rPr>
          <w:rFonts w:ascii="Rockwell" w:hAnsi="Rockwell" w:cs="Rockwell"/>
          <w:sz w:val="24"/>
          <w:szCs w:val="24"/>
        </w:rPr>
        <w:t>ct, CAP 318</w:t>
      </w:r>
    </w:p>
    <w:p w:rsidR="00CE5995" w:rsidRDefault="00D37047"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Conditions prescribed in the E</w:t>
      </w:r>
      <w:r w:rsidR="005E1D36">
        <w:rPr>
          <w:rFonts w:ascii="Rockwell" w:hAnsi="Rockwell" w:cs="Rockwell"/>
          <w:sz w:val="24"/>
          <w:szCs w:val="24"/>
        </w:rPr>
        <w:t xml:space="preserve">SIA </w:t>
      </w:r>
      <w:proofErr w:type="spellStart"/>
      <w:r w:rsidR="005E1D36">
        <w:rPr>
          <w:rFonts w:ascii="Rockwell" w:hAnsi="Rockwell" w:cs="Rockwell"/>
          <w:sz w:val="24"/>
          <w:szCs w:val="24"/>
        </w:rPr>
        <w:t>licenc</w:t>
      </w:r>
      <w:r>
        <w:rPr>
          <w:rFonts w:ascii="Rockwell" w:hAnsi="Rockwell" w:cs="Rockwell"/>
          <w:sz w:val="24"/>
          <w:szCs w:val="24"/>
        </w:rPr>
        <w:t>e</w:t>
      </w:r>
      <w:proofErr w:type="spellEnd"/>
    </w:p>
    <w:p w:rsidR="00CE5995" w:rsidRDefault="00D37047"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Environmental Restoration Orders and Improvement Orders</w:t>
      </w:r>
    </w:p>
    <w:p w:rsidR="00CE5995" w:rsidRDefault="00D37047"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The decommissioning specification</w:t>
      </w:r>
      <w:r w:rsidR="00FE7C96">
        <w:rPr>
          <w:rFonts w:ascii="Rockwell" w:hAnsi="Rockwell" w:cs="Rockwell"/>
          <w:sz w:val="24"/>
          <w:szCs w:val="24"/>
        </w:rPr>
        <w:t>s</w:t>
      </w:r>
      <w:r>
        <w:rPr>
          <w:rFonts w:ascii="Rockwell" w:hAnsi="Rockwell" w:cs="Rockwell"/>
          <w:sz w:val="24"/>
          <w:szCs w:val="24"/>
        </w:rPr>
        <w:t xml:space="preserve"> and standards</w:t>
      </w:r>
      <w:r w:rsidR="00EF5B81">
        <w:rPr>
          <w:rFonts w:ascii="Rockwell" w:hAnsi="Rockwell" w:cs="Rockwell"/>
          <w:sz w:val="24"/>
          <w:szCs w:val="24"/>
        </w:rPr>
        <w:t xml:space="preserve"> (National and International best practices).</w:t>
      </w:r>
    </w:p>
    <w:p w:rsidR="00CE5995" w:rsidRDefault="00CE5995">
      <w:pPr>
        <w:spacing w:line="360" w:lineRule="auto"/>
        <w:jc w:val="both"/>
        <w:rPr>
          <w:rFonts w:ascii="Rockwell" w:hAnsi="Rockwell" w:cs="Rockwell"/>
          <w:sz w:val="24"/>
          <w:szCs w:val="24"/>
        </w:rPr>
      </w:pPr>
    </w:p>
    <w:p w:rsidR="00CE5995" w:rsidRDefault="00D37047">
      <w:pPr>
        <w:pStyle w:val="ListParagraph"/>
        <w:spacing w:line="360" w:lineRule="auto"/>
        <w:jc w:val="both"/>
        <w:outlineLvl w:val="1"/>
        <w:rPr>
          <w:rFonts w:ascii="Rockwell" w:hAnsi="Rockwell" w:cs="Rockwell"/>
          <w:b/>
          <w:sz w:val="24"/>
          <w:szCs w:val="24"/>
        </w:rPr>
      </w:pPr>
      <w:bookmarkStart w:id="156" w:name="_Toc3469"/>
      <w:bookmarkStart w:id="157" w:name="_Toc31567"/>
      <w:bookmarkStart w:id="158" w:name="_Toc12624"/>
      <w:r>
        <w:rPr>
          <w:rFonts w:ascii="Rockwell" w:hAnsi="Rockwell" w:cs="Rockwell"/>
          <w:b/>
          <w:sz w:val="24"/>
          <w:szCs w:val="24"/>
        </w:rPr>
        <w:t xml:space="preserve">3.2.17. Engagement with the </w:t>
      </w:r>
      <w:r w:rsidR="00DA7175">
        <w:rPr>
          <w:rFonts w:ascii="Rockwell" w:hAnsi="Rockwell" w:cs="Rockwell"/>
          <w:b/>
          <w:sz w:val="24"/>
          <w:szCs w:val="24"/>
        </w:rPr>
        <w:t>Project Affected Persons, Local Comm</w:t>
      </w:r>
      <w:r>
        <w:rPr>
          <w:rFonts w:ascii="Rockwell" w:hAnsi="Rockwell" w:cs="Rockwell"/>
          <w:b/>
          <w:sz w:val="24"/>
          <w:szCs w:val="24"/>
        </w:rPr>
        <w:t>unities and other Stakeholders</w:t>
      </w:r>
      <w:bookmarkEnd w:id="156"/>
      <w:bookmarkEnd w:id="157"/>
      <w:bookmarkEnd w:id="158"/>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The mine operator shall identify all the stakeholders to be engaged since stakeholder engagement is a key component of mine site decommissioning planning. Early and continuous engagement with stakeholders enables operators to better understand and manage stakeholder expectations and the potential risks associated with closure. Failure to undertake a stakeholder engagement program may compromise the approval process and mine closure outcomes. </w:t>
      </w: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Mine site decommissioning plan reporting requires that a tabulated summary on all engagement between the operator and the relevant parties be provided. It should include: </w:t>
      </w:r>
    </w:p>
    <w:p w:rsidR="00CE5995" w:rsidRDefault="00D37047" w:rsidP="00197AFF">
      <w:pPr>
        <w:numPr>
          <w:ilvl w:val="0"/>
          <w:numId w:val="10"/>
        </w:numPr>
        <w:spacing w:line="360" w:lineRule="auto"/>
        <w:jc w:val="both"/>
        <w:rPr>
          <w:rFonts w:ascii="Rockwell" w:hAnsi="Rockwell" w:cs="Rockwell"/>
          <w:sz w:val="24"/>
          <w:szCs w:val="24"/>
        </w:rPr>
      </w:pPr>
      <w:r>
        <w:rPr>
          <w:rFonts w:ascii="Rockwell" w:hAnsi="Rockwell" w:cs="Rockwell"/>
          <w:sz w:val="24"/>
          <w:szCs w:val="24"/>
        </w:rPr>
        <w:t xml:space="preserve">Date of engagement; </w:t>
      </w:r>
    </w:p>
    <w:p w:rsidR="00CE5995" w:rsidRDefault="00D37047" w:rsidP="00197AFF">
      <w:pPr>
        <w:numPr>
          <w:ilvl w:val="0"/>
          <w:numId w:val="10"/>
        </w:numPr>
        <w:spacing w:line="360" w:lineRule="auto"/>
        <w:jc w:val="both"/>
        <w:rPr>
          <w:rFonts w:ascii="Rockwell" w:hAnsi="Rockwell" w:cs="Rockwell"/>
          <w:sz w:val="24"/>
          <w:szCs w:val="24"/>
        </w:rPr>
      </w:pPr>
      <w:r>
        <w:rPr>
          <w:rFonts w:ascii="Rockwell" w:hAnsi="Rockwell" w:cs="Rockwell"/>
          <w:sz w:val="24"/>
          <w:szCs w:val="24"/>
        </w:rPr>
        <w:t xml:space="preserve">A description of the nature of the engagement; </w:t>
      </w:r>
    </w:p>
    <w:p w:rsidR="00CE5995" w:rsidRDefault="00D37047" w:rsidP="00197AFF">
      <w:pPr>
        <w:numPr>
          <w:ilvl w:val="0"/>
          <w:numId w:val="10"/>
        </w:numPr>
        <w:spacing w:line="360" w:lineRule="auto"/>
        <w:jc w:val="both"/>
        <w:rPr>
          <w:rFonts w:ascii="Rockwell" w:hAnsi="Rockwell" w:cs="Rockwell"/>
          <w:sz w:val="24"/>
          <w:szCs w:val="24"/>
        </w:rPr>
      </w:pPr>
      <w:r>
        <w:rPr>
          <w:rFonts w:ascii="Rockwell" w:hAnsi="Rockwell" w:cs="Rockwell"/>
          <w:sz w:val="24"/>
          <w:szCs w:val="24"/>
        </w:rPr>
        <w:t xml:space="preserve">Level of information provided to stakeholders; </w:t>
      </w:r>
    </w:p>
    <w:p w:rsidR="00CE5995" w:rsidRDefault="00D37047" w:rsidP="00197AFF">
      <w:pPr>
        <w:numPr>
          <w:ilvl w:val="0"/>
          <w:numId w:val="10"/>
        </w:numPr>
        <w:spacing w:line="360" w:lineRule="auto"/>
        <w:jc w:val="both"/>
        <w:rPr>
          <w:rFonts w:ascii="Rockwell" w:hAnsi="Rockwell" w:cs="Rockwell"/>
          <w:sz w:val="24"/>
          <w:szCs w:val="24"/>
        </w:rPr>
      </w:pPr>
      <w:r>
        <w:rPr>
          <w:rFonts w:ascii="Rockwell" w:hAnsi="Rockwell" w:cs="Rockwell"/>
          <w:sz w:val="24"/>
          <w:szCs w:val="24"/>
        </w:rPr>
        <w:t xml:space="preserve">Who the stakeholders were; </w:t>
      </w:r>
    </w:p>
    <w:p w:rsidR="00CE5995" w:rsidRDefault="00D37047" w:rsidP="00197AFF">
      <w:pPr>
        <w:numPr>
          <w:ilvl w:val="0"/>
          <w:numId w:val="10"/>
        </w:numPr>
        <w:spacing w:line="360" w:lineRule="auto"/>
        <w:jc w:val="both"/>
        <w:rPr>
          <w:rFonts w:ascii="Rockwell" w:hAnsi="Rockwell" w:cs="Rockwell"/>
          <w:sz w:val="24"/>
          <w:szCs w:val="24"/>
        </w:rPr>
      </w:pPr>
      <w:r>
        <w:rPr>
          <w:rFonts w:ascii="Rockwell" w:hAnsi="Rockwell" w:cs="Rockwell"/>
          <w:sz w:val="24"/>
          <w:szCs w:val="24"/>
        </w:rPr>
        <w:t>The comments and issues</w:t>
      </w:r>
      <w:r w:rsidR="00DA7175">
        <w:rPr>
          <w:rFonts w:ascii="Rockwell" w:hAnsi="Rockwell" w:cs="Rockwell"/>
          <w:sz w:val="24"/>
          <w:szCs w:val="24"/>
        </w:rPr>
        <w:t xml:space="preserve"> raised by the stakeholders;</w:t>
      </w:r>
      <w:r>
        <w:rPr>
          <w:rFonts w:ascii="Rockwell" w:hAnsi="Rockwell" w:cs="Rockwell"/>
          <w:sz w:val="24"/>
          <w:szCs w:val="24"/>
        </w:rPr>
        <w:t xml:space="preserve"> </w:t>
      </w:r>
    </w:p>
    <w:p w:rsidR="00CE5995" w:rsidRDefault="00D37047" w:rsidP="00197AFF">
      <w:pPr>
        <w:numPr>
          <w:ilvl w:val="0"/>
          <w:numId w:val="10"/>
        </w:numPr>
        <w:spacing w:line="360" w:lineRule="auto"/>
        <w:jc w:val="both"/>
        <w:rPr>
          <w:rFonts w:ascii="Rockwell" w:hAnsi="Rockwell" w:cs="Rockwell"/>
          <w:sz w:val="24"/>
          <w:szCs w:val="24"/>
        </w:rPr>
      </w:pPr>
      <w:r>
        <w:rPr>
          <w:rFonts w:ascii="Rockwell" w:hAnsi="Rockwell" w:cs="Rockwell"/>
          <w:sz w:val="24"/>
          <w:szCs w:val="24"/>
        </w:rPr>
        <w:t>How the operator has responded to the concerns raised and report the stakeholder response to the proposed resolution</w:t>
      </w:r>
      <w:r w:rsidR="00DA7175">
        <w:rPr>
          <w:rFonts w:ascii="Rockwell" w:hAnsi="Rockwell" w:cs="Rockwell"/>
          <w:sz w:val="24"/>
          <w:szCs w:val="24"/>
        </w:rPr>
        <w:t>; and</w:t>
      </w:r>
    </w:p>
    <w:p w:rsidR="00CE5995" w:rsidRDefault="00D37047" w:rsidP="00197AFF">
      <w:pPr>
        <w:numPr>
          <w:ilvl w:val="0"/>
          <w:numId w:val="10"/>
        </w:numPr>
        <w:spacing w:line="360" w:lineRule="auto"/>
        <w:jc w:val="both"/>
        <w:rPr>
          <w:rFonts w:ascii="Rockwell" w:hAnsi="Rockwell" w:cs="Rockwell"/>
          <w:sz w:val="24"/>
          <w:szCs w:val="24"/>
        </w:rPr>
      </w:pPr>
      <w:r>
        <w:rPr>
          <w:rFonts w:ascii="Rockwell" w:hAnsi="Rockwell" w:cs="Rockwell"/>
          <w:sz w:val="24"/>
          <w:szCs w:val="24"/>
        </w:rPr>
        <w:t>Evidence of the stakeholder engagements and process. This should be in form of  attendance lists, minutes, pictorials and videography</w:t>
      </w:r>
    </w:p>
    <w:p w:rsidR="00CE5995" w:rsidRDefault="00CE5995">
      <w:pPr>
        <w:numPr>
          <w:ilvl w:val="255"/>
          <w:numId w:val="0"/>
        </w:numPr>
        <w:spacing w:line="360" w:lineRule="auto"/>
        <w:jc w:val="both"/>
        <w:rPr>
          <w:rFonts w:ascii="Rockwell" w:hAnsi="Rockwell" w:cs="Rockwell"/>
          <w:sz w:val="24"/>
          <w:szCs w:val="24"/>
        </w:rPr>
      </w:pPr>
    </w:p>
    <w:p w:rsidR="00CE5995" w:rsidRDefault="00D37047">
      <w:pPr>
        <w:numPr>
          <w:ilvl w:val="255"/>
          <w:numId w:val="0"/>
        </w:numPr>
        <w:spacing w:line="360" w:lineRule="auto"/>
        <w:jc w:val="both"/>
        <w:rPr>
          <w:rFonts w:ascii="Rockwell" w:hAnsi="Rockwell" w:cs="Rockwell"/>
          <w:sz w:val="24"/>
          <w:szCs w:val="24"/>
        </w:rPr>
      </w:pPr>
      <w:r>
        <w:rPr>
          <w:rFonts w:ascii="Rockwell" w:hAnsi="Rockwell" w:cs="Rockwell"/>
          <w:sz w:val="24"/>
          <w:szCs w:val="24"/>
        </w:rPr>
        <w:t>The operator shall ensure that adequate resources are provided/allocated to ensure effective engagement process</w:t>
      </w:r>
      <w:r w:rsidR="00DA7175">
        <w:rPr>
          <w:rFonts w:ascii="Rockwell" w:hAnsi="Rockwell" w:cs="Rockwell"/>
          <w:sz w:val="24"/>
          <w:szCs w:val="24"/>
        </w:rPr>
        <w:t>.</w:t>
      </w:r>
    </w:p>
    <w:p w:rsidR="00CE5995" w:rsidRDefault="00D37047" w:rsidP="00197AFF">
      <w:pPr>
        <w:spacing w:line="360" w:lineRule="auto"/>
        <w:jc w:val="both"/>
        <w:rPr>
          <w:rFonts w:ascii="Rockwell" w:hAnsi="Rockwell" w:cs="Rockwell"/>
          <w:b/>
          <w:sz w:val="24"/>
          <w:szCs w:val="24"/>
        </w:rPr>
      </w:pPr>
      <w:r>
        <w:rPr>
          <w:rFonts w:ascii="Rockwell" w:hAnsi="Rockwell" w:cs="Rockwell"/>
          <w:sz w:val="24"/>
          <w:szCs w:val="24"/>
        </w:rPr>
        <w:lastRenderedPageBreak/>
        <w:t xml:space="preserve"> </w:t>
      </w:r>
      <w:bookmarkStart w:id="159" w:name="_Toc24007"/>
      <w:bookmarkStart w:id="160" w:name="_Toc2388"/>
      <w:bookmarkStart w:id="161" w:name="_Toc24421"/>
      <w:r>
        <w:rPr>
          <w:rFonts w:ascii="Rockwell" w:hAnsi="Rockwell" w:cs="Rockwell"/>
          <w:b/>
          <w:sz w:val="24"/>
          <w:szCs w:val="24"/>
        </w:rPr>
        <w:t>3.2.18. Post</w:t>
      </w:r>
      <w:r w:rsidR="005611FF">
        <w:rPr>
          <w:rFonts w:ascii="Rockwell" w:hAnsi="Rockwell" w:cs="Rockwell"/>
          <w:b/>
          <w:sz w:val="24"/>
          <w:szCs w:val="24"/>
        </w:rPr>
        <w:t xml:space="preserve"> closure Audits and Monitoring R</w:t>
      </w:r>
      <w:r>
        <w:rPr>
          <w:rFonts w:ascii="Rockwell" w:hAnsi="Rockwell" w:cs="Rockwell"/>
          <w:b/>
          <w:sz w:val="24"/>
          <w:szCs w:val="24"/>
        </w:rPr>
        <w:t>esponsibilities</w:t>
      </w:r>
      <w:bookmarkEnd w:id="159"/>
      <w:bookmarkEnd w:id="160"/>
      <w:bookmarkEnd w:id="161"/>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Unless prescribed by the Authority on a case by case basis, the mine operator shall prepare and submit post closure audits annually to the Authority. </w:t>
      </w:r>
    </w:p>
    <w:p w:rsidR="00CE5995" w:rsidRDefault="00D37047">
      <w:pPr>
        <w:spacing w:line="360" w:lineRule="auto"/>
        <w:jc w:val="both"/>
        <w:rPr>
          <w:rFonts w:ascii="Rockwell" w:hAnsi="Rockwell" w:cs="Rockwell"/>
          <w:sz w:val="24"/>
          <w:szCs w:val="24"/>
        </w:rPr>
      </w:pPr>
      <w:r>
        <w:rPr>
          <w:rFonts w:ascii="Rockwell" w:hAnsi="Rockwell" w:cs="Rockwell"/>
          <w:sz w:val="24"/>
          <w:szCs w:val="24"/>
        </w:rPr>
        <w:t>The operator shall also monitor environmental elements, parameters and measurable indicators to inform the measurement of environmental changes that have occurred towards achieving the required decommissioning specifications and standards.</w:t>
      </w:r>
    </w:p>
    <w:p w:rsidR="00CE5995" w:rsidRDefault="00CE5995">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In meeting the required decommissioning specifications and standards, the operator shall take into account the following factors: </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The public safety of the site</w:t>
      </w:r>
      <w:r w:rsidR="005611FF">
        <w:rPr>
          <w:rFonts w:ascii="Rockwell" w:hAnsi="Rockwell" w:cs="Rockwell"/>
          <w:sz w:val="24"/>
          <w:szCs w:val="24"/>
        </w:rPr>
        <w:t>;</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The stability of the site under a range of seasonal conditions representative of that climate</w:t>
      </w:r>
      <w:r w:rsidR="005611FF">
        <w:rPr>
          <w:rFonts w:ascii="Rockwell" w:hAnsi="Rockwell" w:cs="Rockwell"/>
          <w:sz w:val="24"/>
          <w:szCs w:val="24"/>
        </w:rPr>
        <w:t>;</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Ecological system recovery at the site</w:t>
      </w:r>
      <w:r w:rsidR="005611FF">
        <w:rPr>
          <w:rFonts w:ascii="Rockwell" w:hAnsi="Rockwell" w:cs="Rockwell"/>
          <w:sz w:val="24"/>
          <w:szCs w:val="24"/>
        </w:rPr>
        <w:t>;</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The state of recovery in comparison to the surrounding area</w:t>
      </w:r>
      <w:r w:rsidR="005611FF">
        <w:rPr>
          <w:rFonts w:ascii="Rockwell" w:hAnsi="Rockwell" w:cs="Rockwell"/>
          <w:sz w:val="24"/>
          <w:szCs w:val="24"/>
        </w:rPr>
        <w:t>;</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The aesthetic value of the site</w:t>
      </w:r>
      <w:r w:rsidR="005611FF">
        <w:rPr>
          <w:rFonts w:ascii="Rockwell" w:hAnsi="Rockwell" w:cs="Rockwell"/>
          <w:sz w:val="24"/>
          <w:szCs w:val="24"/>
        </w:rPr>
        <w:t>;</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Sampling and analysis of applicable parameters</w:t>
      </w:r>
      <w:r w:rsidR="005611FF">
        <w:rPr>
          <w:rFonts w:ascii="Rockwell" w:hAnsi="Rockwell" w:cs="Rockwell"/>
          <w:sz w:val="24"/>
          <w:szCs w:val="24"/>
        </w:rPr>
        <w:t>;</w:t>
      </w:r>
    </w:p>
    <w:p w:rsidR="00CE5995" w:rsidRDefault="00D37047" w:rsidP="00197AFF">
      <w:pPr>
        <w:pStyle w:val="ListParagraph"/>
        <w:numPr>
          <w:ilvl w:val="0"/>
          <w:numId w:val="31"/>
        </w:numPr>
        <w:spacing w:line="360" w:lineRule="auto"/>
        <w:jc w:val="both"/>
        <w:rPr>
          <w:rFonts w:ascii="Rockwell" w:hAnsi="Rockwell" w:cs="Rockwell"/>
          <w:sz w:val="24"/>
          <w:szCs w:val="24"/>
        </w:rPr>
      </w:pPr>
      <w:r>
        <w:rPr>
          <w:rFonts w:ascii="Rockwell" w:hAnsi="Rockwell" w:cs="Rockwell"/>
          <w:sz w:val="24"/>
          <w:szCs w:val="24"/>
        </w:rPr>
        <w:t>The compatible after-use plan of the site and the potential for improved future land use planning and /or site development</w:t>
      </w:r>
      <w:r w:rsidR="005611FF">
        <w:rPr>
          <w:rFonts w:ascii="Rockwell" w:hAnsi="Rockwell" w:cs="Rockwell"/>
          <w:sz w:val="24"/>
          <w:szCs w:val="24"/>
        </w:rPr>
        <w:t>;</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Involvement of the PAPs, the local community and other stakeholders</w:t>
      </w:r>
      <w:r w:rsidR="005611FF">
        <w:rPr>
          <w:rFonts w:ascii="Rockwell" w:hAnsi="Rockwell" w:cs="Rockwell"/>
          <w:sz w:val="24"/>
          <w:szCs w:val="24"/>
        </w:rPr>
        <w:t>;</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The timescales to meet the required decommissioning standards</w:t>
      </w:r>
      <w:r w:rsidR="005611FF">
        <w:rPr>
          <w:rFonts w:ascii="Rockwell" w:hAnsi="Rockwell" w:cs="Rockwell"/>
          <w:sz w:val="24"/>
          <w:szCs w:val="24"/>
        </w:rPr>
        <w:t>;</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The remediation of any contaminated sites</w:t>
      </w:r>
      <w:r w:rsidR="005611FF">
        <w:rPr>
          <w:rFonts w:ascii="Rockwell" w:hAnsi="Rockwell" w:cs="Rockwell"/>
          <w:sz w:val="24"/>
          <w:szCs w:val="24"/>
        </w:rPr>
        <w:t>;</w:t>
      </w:r>
      <w:r>
        <w:rPr>
          <w:rFonts w:ascii="Rockwell" w:hAnsi="Rockwell" w:cs="Rockwell"/>
          <w:sz w:val="24"/>
          <w:szCs w:val="24"/>
        </w:rPr>
        <w:t xml:space="preserve"> </w:t>
      </w:r>
    </w:p>
    <w:p w:rsidR="00CE5995" w:rsidRDefault="005611FF" w:rsidP="00197AFF">
      <w:pPr>
        <w:pStyle w:val="ListParagraph"/>
        <w:numPr>
          <w:ilvl w:val="0"/>
          <w:numId w:val="31"/>
        </w:numPr>
        <w:spacing w:line="360" w:lineRule="auto"/>
        <w:jc w:val="both"/>
        <w:rPr>
          <w:rFonts w:ascii="Rockwell" w:hAnsi="Rockwell" w:cs="Rockwell"/>
          <w:sz w:val="24"/>
          <w:szCs w:val="24"/>
        </w:rPr>
      </w:pPr>
      <w:r>
        <w:rPr>
          <w:rFonts w:ascii="Rockwell" w:hAnsi="Rockwell" w:cs="Rockwell"/>
          <w:sz w:val="24"/>
          <w:szCs w:val="24"/>
        </w:rPr>
        <w:t>O</w:t>
      </w:r>
      <w:r w:rsidR="00D37047">
        <w:rPr>
          <w:rFonts w:ascii="Rockwell" w:hAnsi="Rockwell" w:cs="Rockwell"/>
          <w:sz w:val="24"/>
          <w:szCs w:val="24"/>
        </w:rPr>
        <w:t xml:space="preserve">peration and monitoring information or other information that meets a specific purpose (e.g. maps, </w:t>
      </w:r>
      <w:r>
        <w:rPr>
          <w:rFonts w:ascii="Rockwell" w:hAnsi="Rockwell" w:cs="Rockwell"/>
          <w:sz w:val="24"/>
          <w:szCs w:val="24"/>
        </w:rPr>
        <w:t xml:space="preserve">photos, </w:t>
      </w:r>
      <w:r w:rsidR="00D37047">
        <w:rPr>
          <w:rFonts w:ascii="Rockwell" w:hAnsi="Rockwell" w:cs="Rockwell"/>
          <w:sz w:val="24"/>
          <w:szCs w:val="24"/>
        </w:rPr>
        <w:t>area statistics, species lists or modelled environmental impacts)</w:t>
      </w:r>
      <w:r>
        <w:rPr>
          <w:rFonts w:ascii="Rockwell" w:hAnsi="Rockwell" w:cs="Rockwell"/>
          <w:sz w:val="24"/>
          <w:szCs w:val="24"/>
        </w:rPr>
        <w:t>; and</w:t>
      </w:r>
      <w:r w:rsidR="00D37047">
        <w:rPr>
          <w:rFonts w:ascii="Rockwell" w:hAnsi="Rockwell" w:cs="Rockwell"/>
          <w:sz w:val="24"/>
          <w:szCs w:val="24"/>
        </w:rPr>
        <w:t xml:space="preserve"> </w:t>
      </w:r>
    </w:p>
    <w:p w:rsidR="00CE5995" w:rsidRDefault="00D37047" w:rsidP="00197AFF">
      <w:pPr>
        <w:pStyle w:val="ListParagraph"/>
        <w:numPr>
          <w:ilvl w:val="0"/>
          <w:numId w:val="31"/>
        </w:numPr>
        <w:spacing w:line="360" w:lineRule="auto"/>
        <w:jc w:val="both"/>
        <w:rPr>
          <w:rFonts w:ascii="Rockwell" w:hAnsi="Rockwell" w:cs="Rockwell"/>
          <w:sz w:val="24"/>
          <w:szCs w:val="24"/>
        </w:rPr>
      </w:pPr>
      <w:r>
        <w:rPr>
          <w:rFonts w:ascii="Rockwell" w:hAnsi="Rockwell" w:cs="Rockwell"/>
          <w:sz w:val="24"/>
          <w:szCs w:val="24"/>
        </w:rPr>
        <w:t xml:space="preserve">A history of closure implementation and </w:t>
      </w:r>
      <w:r w:rsidR="005611FF">
        <w:rPr>
          <w:rFonts w:ascii="Rockwell" w:hAnsi="Rockwell" w:cs="Rockwell"/>
          <w:sz w:val="24"/>
          <w:szCs w:val="24"/>
        </w:rPr>
        <w:t>past developments at the site.</w:t>
      </w:r>
    </w:p>
    <w:p w:rsidR="005611FF" w:rsidRDefault="005611FF" w:rsidP="005611FF">
      <w:pPr>
        <w:pStyle w:val="ListParagraph"/>
        <w:tabs>
          <w:tab w:val="left" w:pos="420"/>
        </w:tabs>
        <w:spacing w:line="360" w:lineRule="auto"/>
        <w:ind w:left="420"/>
        <w:jc w:val="both"/>
        <w:rPr>
          <w:rFonts w:ascii="Rockwell" w:hAnsi="Rockwell" w:cs="Rockwell"/>
          <w:sz w:val="24"/>
          <w:szCs w:val="24"/>
        </w:rPr>
      </w:pPr>
    </w:p>
    <w:p w:rsidR="00CE5995" w:rsidRDefault="00D37047">
      <w:pPr>
        <w:pStyle w:val="ListParagraph"/>
        <w:numPr>
          <w:ilvl w:val="255"/>
          <w:numId w:val="0"/>
        </w:numPr>
        <w:spacing w:line="360" w:lineRule="auto"/>
        <w:jc w:val="both"/>
        <w:rPr>
          <w:rFonts w:ascii="Rockwell" w:hAnsi="Rockwell" w:cs="Rockwell"/>
          <w:sz w:val="24"/>
          <w:szCs w:val="24"/>
        </w:rPr>
      </w:pPr>
      <w:r>
        <w:rPr>
          <w:rFonts w:ascii="Rockwell" w:hAnsi="Rockwell" w:cs="Rockwell"/>
          <w:sz w:val="24"/>
          <w:szCs w:val="24"/>
        </w:rPr>
        <w:t>The Authority in consultation with the relevant lead agencies shall undertake periodic</w:t>
      </w:r>
      <w:r w:rsidR="002944FC">
        <w:rPr>
          <w:rFonts w:ascii="Rockwell" w:hAnsi="Rockwell" w:cs="Rockwell"/>
          <w:sz w:val="24"/>
          <w:szCs w:val="24"/>
        </w:rPr>
        <w:t xml:space="preserve"> environmental monitoring and/or </w:t>
      </w:r>
      <w:r>
        <w:rPr>
          <w:rFonts w:ascii="Rockwell" w:hAnsi="Rockwell" w:cs="Rockwell"/>
          <w:sz w:val="24"/>
          <w:szCs w:val="24"/>
        </w:rPr>
        <w:t>control environmental audits, whenever it is deemed necessary to check compliance with environmental parameters and prescribed standards for the mine site.</w:t>
      </w:r>
    </w:p>
    <w:p w:rsidR="00CE5995" w:rsidRDefault="00D37047">
      <w:pPr>
        <w:pStyle w:val="ListParagraph"/>
        <w:spacing w:line="360" w:lineRule="auto"/>
        <w:jc w:val="both"/>
        <w:outlineLvl w:val="1"/>
        <w:rPr>
          <w:rFonts w:ascii="Rockwell" w:hAnsi="Rockwell" w:cs="Rockwell"/>
          <w:b/>
          <w:sz w:val="24"/>
          <w:szCs w:val="24"/>
        </w:rPr>
      </w:pPr>
      <w:bookmarkStart w:id="162" w:name="_Toc32180"/>
      <w:bookmarkStart w:id="163" w:name="_Toc20421"/>
      <w:bookmarkStart w:id="164" w:name="_Toc18997"/>
      <w:r>
        <w:rPr>
          <w:rFonts w:ascii="Rockwell" w:hAnsi="Rockwell" w:cs="Rockwell"/>
          <w:b/>
          <w:sz w:val="24"/>
          <w:szCs w:val="24"/>
        </w:rPr>
        <w:lastRenderedPageBreak/>
        <w:t>3.2.19. Financial Provision for Closure</w:t>
      </w:r>
      <w:bookmarkEnd w:id="162"/>
      <w:bookmarkEnd w:id="163"/>
      <w:bookmarkEnd w:id="164"/>
      <w:r>
        <w:rPr>
          <w:rFonts w:ascii="Rockwell" w:hAnsi="Rockwell" w:cs="Rockwell"/>
          <w:b/>
          <w:sz w:val="24"/>
          <w:szCs w:val="24"/>
        </w:rPr>
        <w:t xml:space="preserve"> </w:t>
      </w: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Current international practice requires that the financial guarantees need to be calculated and secured ahead of mining activities. Ideally, funds for mine closure should be available to close the mines at any stage of the mine life whether the operator is there or not. </w:t>
      </w:r>
    </w:p>
    <w:p w:rsidR="00CE5995" w:rsidRDefault="00CE5995">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The objective of financial provisioning for closure is to ensure that adequate funds are available at the time of closure and that the community is not left with an unacceptable liability. To that end, it is essential that the cost of closure be estimated as early as possible. The financial provisioning process and methodology has to be transparent and verifiable, assumptions and uncertainties have to be clearly documented, and they have to be based on reasonable, site-specific information and data throughout the life of the project. The closure cost estimates must be regularly reviewed to reflect changing circumstances and levels of risk. This will ensure that the accuracy of closure costs is refined and improved with time, and will assist with management and mitigation of high-risk issues. </w:t>
      </w:r>
    </w:p>
    <w:p w:rsidR="00CE5995" w:rsidRDefault="00CE5995">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The financing of</w:t>
      </w:r>
      <w:r w:rsidR="005611FF">
        <w:rPr>
          <w:rFonts w:ascii="Rockwell" w:hAnsi="Rockwell" w:cs="Rockwell"/>
          <w:sz w:val="24"/>
          <w:szCs w:val="24"/>
        </w:rPr>
        <w:t xml:space="preserve"> decommissioning, </w:t>
      </w:r>
      <w:r>
        <w:rPr>
          <w:rFonts w:ascii="Rockwell" w:hAnsi="Rockwell" w:cs="Rockwell"/>
          <w:sz w:val="24"/>
          <w:szCs w:val="24"/>
        </w:rPr>
        <w:t xml:space="preserve">rehabilitation </w:t>
      </w:r>
      <w:r w:rsidR="005611FF">
        <w:rPr>
          <w:rFonts w:ascii="Rockwell" w:hAnsi="Rockwell" w:cs="Rockwell"/>
          <w:sz w:val="24"/>
          <w:szCs w:val="24"/>
        </w:rPr>
        <w:t xml:space="preserve">and closure </w:t>
      </w:r>
      <w:r>
        <w:rPr>
          <w:rFonts w:ascii="Rockwell" w:hAnsi="Rockwell" w:cs="Rockwell"/>
          <w:sz w:val="24"/>
          <w:szCs w:val="24"/>
        </w:rPr>
        <w:t xml:space="preserve">of </w:t>
      </w:r>
      <w:r w:rsidR="005611FF">
        <w:rPr>
          <w:rFonts w:ascii="Rockwell" w:hAnsi="Rockwell" w:cs="Rockwell"/>
          <w:sz w:val="24"/>
          <w:szCs w:val="24"/>
        </w:rPr>
        <w:t xml:space="preserve">the </w:t>
      </w:r>
      <w:r>
        <w:rPr>
          <w:rFonts w:ascii="Rockwell" w:hAnsi="Rockwell" w:cs="Rockwell"/>
          <w:sz w:val="24"/>
          <w:szCs w:val="24"/>
        </w:rPr>
        <w:t xml:space="preserve">mine sites </w:t>
      </w:r>
      <w:r w:rsidR="005611FF">
        <w:rPr>
          <w:rFonts w:ascii="Rockwell" w:hAnsi="Rockwell" w:cs="Rockwell"/>
          <w:sz w:val="24"/>
          <w:szCs w:val="24"/>
        </w:rPr>
        <w:t xml:space="preserve">is within the provisions of </w:t>
      </w:r>
      <w:r>
        <w:rPr>
          <w:rFonts w:ascii="Rockwell" w:hAnsi="Rockwell" w:cs="Rockwell"/>
          <w:sz w:val="24"/>
          <w:szCs w:val="24"/>
        </w:rPr>
        <w:t xml:space="preserve">the Polluter Pays Principle </w:t>
      </w:r>
      <w:r w:rsidR="00D85828">
        <w:rPr>
          <w:rFonts w:ascii="Rockwell" w:hAnsi="Rockwell" w:cs="Rockwell"/>
          <w:sz w:val="24"/>
          <w:szCs w:val="24"/>
        </w:rPr>
        <w:t xml:space="preserve">and </w:t>
      </w:r>
      <w:r>
        <w:rPr>
          <w:rFonts w:ascii="Rockwell" w:hAnsi="Rockwell" w:cs="Rockwell"/>
          <w:sz w:val="24"/>
          <w:szCs w:val="24"/>
        </w:rPr>
        <w:t xml:space="preserve">as </w:t>
      </w:r>
      <w:r w:rsidR="00D85828">
        <w:rPr>
          <w:rFonts w:ascii="Rockwell" w:hAnsi="Rockwell" w:cs="Rockwell"/>
          <w:sz w:val="24"/>
          <w:szCs w:val="24"/>
        </w:rPr>
        <w:t xml:space="preserve">specified </w:t>
      </w:r>
      <w:r w:rsidR="00894BD1">
        <w:rPr>
          <w:rFonts w:ascii="Rockwell" w:hAnsi="Rockwell" w:cs="Rockwell"/>
          <w:sz w:val="24"/>
          <w:szCs w:val="24"/>
        </w:rPr>
        <w:t>under section 28 of EMCA, 1999 a</w:t>
      </w:r>
      <w:r w:rsidR="00D85828">
        <w:rPr>
          <w:rFonts w:ascii="Rockwell" w:hAnsi="Rockwell" w:cs="Rockwell"/>
          <w:sz w:val="24"/>
          <w:szCs w:val="24"/>
        </w:rPr>
        <w:t xml:space="preserve">s well as </w:t>
      </w:r>
      <w:r>
        <w:rPr>
          <w:rFonts w:ascii="Rockwell" w:hAnsi="Rockwell" w:cs="Rockwell"/>
          <w:sz w:val="24"/>
          <w:szCs w:val="24"/>
        </w:rPr>
        <w:t>internationally applicable best practice</w:t>
      </w:r>
      <w:r w:rsidR="00D85828">
        <w:rPr>
          <w:rFonts w:ascii="Rockwell" w:hAnsi="Rockwell" w:cs="Rockwell"/>
          <w:sz w:val="24"/>
          <w:szCs w:val="24"/>
        </w:rPr>
        <w:t>s</w:t>
      </w:r>
      <w:r>
        <w:rPr>
          <w:rFonts w:ascii="Rockwell" w:hAnsi="Rockwell" w:cs="Rockwell"/>
          <w:sz w:val="24"/>
          <w:szCs w:val="24"/>
        </w:rPr>
        <w:t>. This should place the onus of expenditure for site assessment, management, decommissioning, remediation, waste treatment and disposal on those responsible for the pollution.</w:t>
      </w:r>
    </w:p>
    <w:p w:rsidR="00CE5995" w:rsidRDefault="00CE5995">
      <w:pPr>
        <w:spacing w:line="360" w:lineRule="auto"/>
        <w:jc w:val="both"/>
        <w:rPr>
          <w:rFonts w:ascii="Rockwell" w:hAnsi="Rockwell" w:cs="Rockwell"/>
          <w:sz w:val="24"/>
          <w:szCs w:val="24"/>
        </w:rPr>
      </w:pPr>
    </w:p>
    <w:p w:rsidR="00CE5995" w:rsidRDefault="001A6076">
      <w:pPr>
        <w:pStyle w:val="Heading1"/>
        <w:rPr>
          <w:rFonts w:ascii="Rockwell" w:hAnsi="Rockwell" w:cs="Rockwell"/>
          <w:b/>
          <w:color w:val="auto"/>
          <w:sz w:val="24"/>
          <w:szCs w:val="24"/>
        </w:rPr>
      </w:pPr>
      <w:bookmarkStart w:id="165" w:name="_Toc425714"/>
      <w:bookmarkStart w:id="166" w:name="_Toc26895"/>
      <w:bookmarkStart w:id="167" w:name="_Toc6952"/>
      <w:bookmarkStart w:id="168" w:name="_Toc1864"/>
      <w:r>
        <w:rPr>
          <w:rFonts w:ascii="Rockwell" w:hAnsi="Rockwell" w:cs="Rockwell"/>
          <w:b/>
          <w:color w:val="auto"/>
          <w:sz w:val="24"/>
          <w:szCs w:val="24"/>
        </w:rPr>
        <w:t xml:space="preserve">3.3 </w:t>
      </w:r>
      <w:r w:rsidR="00D37047">
        <w:rPr>
          <w:rFonts w:ascii="Rockwell" w:hAnsi="Rockwell" w:cs="Rockwell"/>
          <w:b/>
          <w:color w:val="auto"/>
          <w:sz w:val="24"/>
          <w:szCs w:val="24"/>
        </w:rPr>
        <w:t xml:space="preserve">Review of Mine </w:t>
      </w:r>
      <w:r w:rsidR="005D1B23">
        <w:rPr>
          <w:rFonts w:ascii="Rockwell" w:hAnsi="Rockwell" w:cs="Rockwell"/>
          <w:b/>
          <w:color w:val="auto"/>
          <w:sz w:val="24"/>
          <w:szCs w:val="24"/>
        </w:rPr>
        <w:t>Decommissioning a</w:t>
      </w:r>
      <w:r>
        <w:rPr>
          <w:rFonts w:ascii="Rockwell" w:hAnsi="Rockwell" w:cs="Rockwell"/>
          <w:b/>
          <w:color w:val="auto"/>
          <w:sz w:val="24"/>
          <w:szCs w:val="24"/>
        </w:rPr>
        <w:t>nd Rehabilitation Plan</w:t>
      </w:r>
      <w:bookmarkEnd w:id="165"/>
      <w:bookmarkEnd w:id="166"/>
      <w:bookmarkEnd w:id="167"/>
      <w:bookmarkEnd w:id="168"/>
    </w:p>
    <w:p w:rsidR="00CE5995" w:rsidRDefault="00CE5995">
      <w:pPr>
        <w:autoSpaceDE w:val="0"/>
        <w:autoSpaceDN w:val="0"/>
        <w:adjustRightInd w:val="0"/>
        <w:spacing w:line="360" w:lineRule="auto"/>
        <w:jc w:val="both"/>
        <w:rPr>
          <w:rFonts w:ascii="Rockwell" w:hAnsi="Rockwell" w:cs="Rockwell"/>
          <w:sz w:val="24"/>
          <w:szCs w:val="24"/>
        </w:rPr>
      </w:pPr>
    </w:p>
    <w:p w:rsidR="00CE5995" w:rsidRDefault="00D37047">
      <w:pPr>
        <w:numPr>
          <w:ilvl w:val="255"/>
          <w:numId w:val="0"/>
        </w:numPr>
        <w:autoSpaceDE w:val="0"/>
        <w:autoSpaceDN w:val="0"/>
        <w:adjustRightInd w:val="0"/>
        <w:spacing w:line="360" w:lineRule="auto"/>
        <w:ind w:left="72"/>
        <w:jc w:val="both"/>
        <w:rPr>
          <w:rFonts w:ascii="Rockwell" w:hAnsi="Rockwell" w:cs="Rockwell"/>
          <w:sz w:val="24"/>
          <w:szCs w:val="24"/>
          <w:lang w:eastAsia="en-GB"/>
        </w:rPr>
      </w:pPr>
      <w:r>
        <w:rPr>
          <w:rFonts w:ascii="Rockwell" w:hAnsi="Rockwell" w:cs="Rockwell"/>
          <w:sz w:val="24"/>
          <w:szCs w:val="24"/>
          <w:lang w:eastAsia="en-GB"/>
        </w:rPr>
        <w:t>The Authority may liaise with</w:t>
      </w:r>
      <w:r w:rsidR="001A6076">
        <w:rPr>
          <w:rFonts w:ascii="Rockwell" w:hAnsi="Rockwell" w:cs="Rockwell"/>
          <w:sz w:val="24"/>
          <w:szCs w:val="24"/>
          <w:lang w:eastAsia="en-GB"/>
        </w:rPr>
        <w:t xml:space="preserve"> the relevant lead agencies to </w:t>
      </w:r>
      <w:r>
        <w:rPr>
          <w:rFonts w:ascii="Rockwell" w:hAnsi="Rockwell" w:cs="Rockwell"/>
          <w:sz w:val="24"/>
          <w:szCs w:val="24"/>
          <w:lang w:eastAsia="en-GB"/>
        </w:rPr>
        <w:t>review the mine decommissioning and rehabilitation plan based on set criteria in accor</w:t>
      </w:r>
      <w:r w:rsidR="005D1B23">
        <w:rPr>
          <w:rFonts w:ascii="Rockwell" w:hAnsi="Rockwell" w:cs="Rockwell"/>
          <w:sz w:val="24"/>
          <w:szCs w:val="24"/>
          <w:lang w:eastAsia="en-GB"/>
        </w:rPr>
        <w:t xml:space="preserve">dance with section 3.1 of this </w:t>
      </w:r>
      <w:r w:rsidR="00313495">
        <w:rPr>
          <w:rFonts w:ascii="Rockwell" w:hAnsi="Rockwell" w:cs="Rockwell"/>
          <w:sz w:val="24"/>
          <w:szCs w:val="24"/>
          <w:lang w:eastAsia="en-GB"/>
        </w:rPr>
        <w:t>Guideline</w:t>
      </w:r>
      <w:r>
        <w:rPr>
          <w:rFonts w:ascii="Rockwell" w:hAnsi="Rockwell" w:cs="Rockwell"/>
          <w:sz w:val="24"/>
          <w:szCs w:val="24"/>
          <w:lang w:eastAsia="en-GB"/>
        </w:rPr>
        <w:t xml:space="preserve"> and issue a decision on the same. The decision of the Authority, together with the reasons thereof, shall be in writing and communicated to </w:t>
      </w:r>
      <w:r>
        <w:rPr>
          <w:rFonts w:ascii="Rockwell" w:hAnsi="Rockwell" w:cs="Rockwell"/>
          <w:sz w:val="24"/>
          <w:szCs w:val="24"/>
          <w:lang w:eastAsia="en-GB"/>
        </w:rPr>
        <w:lastRenderedPageBreak/>
        <w:t xml:space="preserve">the operator within </w:t>
      </w:r>
      <w:r w:rsidR="005D1B23">
        <w:rPr>
          <w:rFonts w:ascii="Rockwell" w:hAnsi="Rockwell" w:cs="Rockwell"/>
          <w:sz w:val="24"/>
          <w:szCs w:val="24"/>
          <w:lang w:eastAsia="en-GB"/>
        </w:rPr>
        <w:t>sixty (60) days</w:t>
      </w:r>
      <w:r>
        <w:rPr>
          <w:rFonts w:ascii="Rockwell" w:hAnsi="Rockwell" w:cs="Rockwell"/>
          <w:sz w:val="24"/>
          <w:szCs w:val="24"/>
          <w:lang w:eastAsia="en-GB"/>
        </w:rPr>
        <w:t xml:space="preserve"> from the date of submission of the Plan.</w:t>
      </w:r>
    </w:p>
    <w:p w:rsidR="00CE5995" w:rsidRDefault="00CE5995">
      <w:pPr>
        <w:numPr>
          <w:ilvl w:val="255"/>
          <w:numId w:val="0"/>
        </w:numPr>
        <w:autoSpaceDE w:val="0"/>
        <w:autoSpaceDN w:val="0"/>
        <w:adjustRightInd w:val="0"/>
        <w:spacing w:line="360" w:lineRule="auto"/>
        <w:jc w:val="both"/>
        <w:rPr>
          <w:rFonts w:ascii="Rockwell" w:hAnsi="Rockwell" w:cs="Rockwell"/>
          <w:sz w:val="24"/>
          <w:szCs w:val="24"/>
          <w:lang w:eastAsia="en-GB"/>
        </w:rPr>
      </w:pPr>
    </w:p>
    <w:p w:rsidR="00CE5995" w:rsidRDefault="00D37047">
      <w:pPr>
        <w:autoSpaceDE w:val="0"/>
        <w:autoSpaceDN w:val="0"/>
        <w:adjustRightInd w:val="0"/>
        <w:spacing w:line="360" w:lineRule="auto"/>
        <w:jc w:val="both"/>
        <w:rPr>
          <w:rFonts w:ascii="Rockwell" w:hAnsi="Rockwell" w:cs="Rockwell"/>
          <w:sz w:val="24"/>
          <w:szCs w:val="24"/>
          <w:lang w:eastAsia="en-GB"/>
        </w:rPr>
      </w:pPr>
      <w:r>
        <w:rPr>
          <w:rFonts w:ascii="Rockwell" w:hAnsi="Rockwell" w:cs="Rockwell"/>
          <w:sz w:val="24"/>
          <w:szCs w:val="24"/>
          <w:lang w:eastAsia="en-GB"/>
        </w:rPr>
        <w:t xml:space="preserve">Where the Authority is satisfied with the content of the Plan, the Authority shall issue an approval with terms and conditions, as may be appropriate. If the Authority is not satisfied with the adequacy or reliability of information stated in the Plan, the Authority may request for additional information to enable it make an informed decision. </w:t>
      </w:r>
    </w:p>
    <w:p w:rsidR="00CE5995" w:rsidRDefault="00CE5995">
      <w:pPr>
        <w:spacing w:line="360" w:lineRule="auto"/>
        <w:jc w:val="both"/>
        <w:rPr>
          <w:rFonts w:ascii="Rockwell" w:hAnsi="Rockwell" w:cs="Rockwell"/>
          <w:b/>
          <w:sz w:val="24"/>
          <w:szCs w:val="24"/>
        </w:rPr>
      </w:pPr>
      <w:bookmarkStart w:id="169" w:name="_Toc425716"/>
    </w:p>
    <w:p w:rsidR="00CE5995" w:rsidRDefault="00CE5995">
      <w:pPr>
        <w:spacing w:line="360" w:lineRule="auto"/>
        <w:jc w:val="both"/>
        <w:rPr>
          <w:rFonts w:ascii="Rockwell" w:hAnsi="Rockwell" w:cs="Rockwell"/>
          <w:b/>
          <w:sz w:val="24"/>
          <w:szCs w:val="24"/>
        </w:rPr>
      </w:pPr>
    </w:p>
    <w:p w:rsidR="00CE5995" w:rsidRDefault="00CE5995">
      <w:pPr>
        <w:pStyle w:val="Heading1"/>
        <w:spacing w:line="360" w:lineRule="auto"/>
        <w:jc w:val="both"/>
        <w:rPr>
          <w:rFonts w:ascii="Rockwell" w:hAnsi="Rockwell" w:cs="Rockwell"/>
          <w:b/>
          <w:color w:val="auto"/>
          <w:sz w:val="24"/>
          <w:szCs w:val="24"/>
        </w:rPr>
      </w:pPr>
      <w:bookmarkStart w:id="170" w:name="_Toc425717"/>
      <w:bookmarkEnd w:id="169"/>
    </w:p>
    <w:bookmarkEnd w:id="170"/>
    <w:p w:rsidR="00CE5995" w:rsidRDefault="00CE5995">
      <w:pPr>
        <w:spacing w:line="360" w:lineRule="auto"/>
        <w:jc w:val="both"/>
        <w:rPr>
          <w:rFonts w:ascii="Rockwell" w:hAnsi="Rockwell" w:cs="Rockwell"/>
          <w:sz w:val="24"/>
          <w:szCs w:val="24"/>
        </w:rPr>
      </w:pPr>
    </w:p>
    <w:sectPr w:rsidR="00CE59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0B0" w:rsidRDefault="004D30B0">
      <w:r>
        <w:separator/>
      </w:r>
    </w:p>
  </w:endnote>
  <w:endnote w:type="continuationSeparator" w:id="0">
    <w:p w:rsidR="004D30B0" w:rsidRDefault="004D3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ckwell">
    <w:panose1 w:val="02060603020205020403"/>
    <w:charset w:val="00"/>
    <w:family w:val="roman"/>
    <w:pitch w:val="variable"/>
    <w:sig w:usb0="00000003" w:usb1="00000000" w:usb2="00000000" w:usb3="00000000" w:csb0="00000001" w:csb1="00000000"/>
  </w:font>
  <w:font w:name="Times-Roman">
    <w:altName w:val="Times New Roman"/>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129770"/>
      <w:docPartObj>
        <w:docPartGallery w:val="Page Numbers (Bottom of Page)"/>
        <w:docPartUnique/>
      </w:docPartObj>
    </w:sdtPr>
    <w:sdtEndPr>
      <w:rPr>
        <w:noProof/>
      </w:rPr>
    </w:sdtEndPr>
    <w:sdtContent>
      <w:p w:rsidR="00BC6616" w:rsidRDefault="00BC6616">
        <w:pPr>
          <w:pStyle w:val="Footer"/>
          <w:jc w:val="center"/>
        </w:pPr>
        <w:r>
          <w:fldChar w:fldCharType="begin"/>
        </w:r>
        <w:r>
          <w:instrText xml:space="preserve"> PAGE   \* MERGEFORMAT </w:instrText>
        </w:r>
        <w:r>
          <w:fldChar w:fldCharType="separate"/>
        </w:r>
        <w:r w:rsidR="00C17EE4">
          <w:rPr>
            <w:noProof/>
          </w:rPr>
          <w:t>21</w:t>
        </w:r>
        <w:r>
          <w:rPr>
            <w:noProof/>
          </w:rPr>
          <w:fldChar w:fldCharType="end"/>
        </w:r>
      </w:p>
    </w:sdtContent>
  </w:sdt>
  <w:p w:rsidR="00BC6616" w:rsidRDefault="00BC6616">
    <w:pPr>
      <w:spacing w:line="14" w:lineRule="auto"/>
      <w:ind w:right="36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0B0" w:rsidRDefault="004D30B0">
      <w:r>
        <w:separator/>
      </w:r>
    </w:p>
  </w:footnote>
  <w:footnote w:type="continuationSeparator" w:id="0">
    <w:p w:rsidR="004D30B0" w:rsidRDefault="004D30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616" w:rsidRDefault="00BC6616">
    <w:pPr>
      <w:pStyle w:val="Header"/>
    </w:pPr>
  </w:p>
  <w:p w:rsidR="00BC6616" w:rsidRDefault="00BC6616">
    <w:pPr>
      <w:pStyle w:val="Header"/>
    </w:pPr>
  </w:p>
  <w:p w:rsidR="00BC6616" w:rsidRDefault="00BC6616">
    <w:pPr>
      <w:pStyle w:val="Header"/>
    </w:pPr>
  </w:p>
  <w:p w:rsidR="00BC6616" w:rsidRDefault="00BC66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FED698"/>
    <w:multiLevelType w:val="multilevel"/>
    <w:tmpl w:val="9FC491DC"/>
    <w:lvl w:ilvl="0">
      <w:start w:val="1"/>
      <w:numFmt w:val="lowerRoman"/>
      <w:lvlText w:val="(%1)."/>
      <w:lvlJc w:val="left"/>
      <w:pPr>
        <w:tabs>
          <w:tab w:val="left" w:pos="420"/>
        </w:tabs>
        <w:ind w:left="420" w:hanging="420"/>
      </w:pPr>
      <w:rPr>
        <w:rFont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E2FDD394"/>
    <w:multiLevelType w:val="singleLevel"/>
    <w:tmpl w:val="E2FDD394"/>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F4E95AC3"/>
    <w:multiLevelType w:val="singleLevel"/>
    <w:tmpl w:val="F4E95AC3"/>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10A0972"/>
    <w:multiLevelType w:val="multilevel"/>
    <w:tmpl w:val="010A0972"/>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4" w15:restartNumberingAfterBreak="0">
    <w:nsid w:val="041F5B5D"/>
    <w:multiLevelType w:val="multilevel"/>
    <w:tmpl w:val="58BC8DA2"/>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6A5979"/>
    <w:multiLevelType w:val="hybridMultilevel"/>
    <w:tmpl w:val="9E4A20CA"/>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D6DF9E0"/>
    <w:multiLevelType w:val="singleLevel"/>
    <w:tmpl w:val="0D6DF9E0"/>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13DD26DB"/>
    <w:multiLevelType w:val="hybridMultilevel"/>
    <w:tmpl w:val="93466748"/>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471D90B"/>
    <w:multiLevelType w:val="singleLevel"/>
    <w:tmpl w:val="1471D90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14DA2E20"/>
    <w:multiLevelType w:val="multilevel"/>
    <w:tmpl w:val="9FC491DC"/>
    <w:lvl w:ilvl="0">
      <w:start w:val="1"/>
      <w:numFmt w:val="lowerRoman"/>
      <w:lvlText w:val="(%1)."/>
      <w:lvlJc w:val="left"/>
      <w:pPr>
        <w:tabs>
          <w:tab w:val="left" w:pos="420"/>
        </w:tabs>
        <w:ind w:left="420" w:hanging="420"/>
      </w:pPr>
      <w:rPr>
        <w:rFont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15:restartNumberingAfterBreak="0">
    <w:nsid w:val="16265AC9"/>
    <w:multiLevelType w:val="hybridMultilevel"/>
    <w:tmpl w:val="24AE8622"/>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8F07024"/>
    <w:multiLevelType w:val="hybridMultilevel"/>
    <w:tmpl w:val="B71AE924"/>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D071B72"/>
    <w:multiLevelType w:val="hybridMultilevel"/>
    <w:tmpl w:val="5008DC78"/>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B061205"/>
    <w:multiLevelType w:val="hybridMultilevel"/>
    <w:tmpl w:val="02467300"/>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CDF073F"/>
    <w:multiLevelType w:val="hybridMultilevel"/>
    <w:tmpl w:val="222E9C5C"/>
    <w:lvl w:ilvl="0" w:tplc="EFC62EF2">
      <w:start w:val="1"/>
      <w:numFmt w:val="lowerRoman"/>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0CC0614"/>
    <w:multiLevelType w:val="hybridMultilevel"/>
    <w:tmpl w:val="B70CE6E6"/>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2946D6A"/>
    <w:multiLevelType w:val="multilevel"/>
    <w:tmpl w:val="42946D6A"/>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7" w15:restartNumberingAfterBreak="0">
    <w:nsid w:val="4444362E"/>
    <w:multiLevelType w:val="hybridMultilevel"/>
    <w:tmpl w:val="A5A64EF6"/>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53A105B"/>
    <w:multiLevelType w:val="multilevel"/>
    <w:tmpl w:val="453A105B"/>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323640"/>
    <w:multiLevelType w:val="hybridMultilevel"/>
    <w:tmpl w:val="000AC964"/>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1783291"/>
    <w:multiLevelType w:val="hybridMultilevel"/>
    <w:tmpl w:val="30FE009C"/>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3564297"/>
    <w:multiLevelType w:val="hybridMultilevel"/>
    <w:tmpl w:val="C21C2212"/>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6A96A11"/>
    <w:multiLevelType w:val="hybridMultilevel"/>
    <w:tmpl w:val="C58ADAB4"/>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E268D38"/>
    <w:multiLevelType w:val="singleLevel"/>
    <w:tmpl w:val="5E268D38"/>
    <w:lvl w:ilvl="0">
      <w:start w:val="1"/>
      <w:numFmt w:val="bullet"/>
      <w:lvlText w:val=""/>
      <w:lvlJc w:val="left"/>
      <w:pPr>
        <w:tabs>
          <w:tab w:val="left" w:pos="420"/>
        </w:tabs>
        <w:ind w:left="420" w:hanging="420"/>
      </w:pPr>
      <w:rPr>
        <w:rFonts w:ascii="Wingdings" w:hAnsi="Wingdings" w:hint="default"/>
      </w:rPr>
    </w:lvl>
  </w:abstractNum>
  <w:abstractNum w:abstractNumId="24" w15:restartNumberingAfterBreak="0">
    <w:nsid w:val="6492746C"/>
    <w:multiLevelType w:val="hybridMultilevel"/>
    <w:tmpl w:val="4E98B2F2"/>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A8D684B"/>
    <w:multiLevelType w:val="singleLevel"/>
    <w:tmpl w:val="6A8D684B"/>
    <w:lvl w:ilvl="0">
      <w:start w:val="1"/>
      <w:numFmt w:val="lowerRoman"/>
      <w:lvlText w:val="%1."/>
      <w:lvlJc w:val="left"/>
      <w:pPr>
        <w:tabs>
          <w:tab w:val="left" w:pos="425"/>
        </w:tabs>
        <w:ind w:left="425" w:hanging="425"/>
      </w:pPr>
      <w:rPr>
        <w:rFonts w:hint="default"/>
      </w:rPr>
    </w:lvl>
  </w:abstractNum>
  <w:abstractNum w:abstractNumId="26" w15:restartNumberingAfterBreak="0">
    <w:nsid w:val="70715C3C"/>
    <w:multiLevelType w:val="singleLevel"/>
    <w:tmpl w:val="70715C3C"/>
    <w:lvl w:ilvl="0">
      <w:start w:val="1"/>
      <w:numFmt w:val="bullet"/>
      <w:lvlText w:val=""/>
      <w:lvlJc w:val="left"/>
      <w:pPr>
        <w:tabs>
          <w:tab w:val="left" w:pos="420"/>
        </w:tabs>
        <w:ind w:left="420" w:hanging="420"/>
      </w:pPr>
      <w:rPr>
        <w:rFonts w:ascii="Wingdings" w:hAnsi="Wingdings" w:hint="default"/>
      </w:rPr>
    </w:lvl>
  </w:abstractNum>
  <w:abstractNum w:abstractNumId="27" w15:restartNumberingAfterBreak="0">
    <w:nsid w:val="71B1581C"/>
    <w:multiLevelType w:val="hybridMultilevel"/>
    <w:tmpl w:val="DDC67F50"/>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61E2CC1"/>
    <w:multiLevelType w:val="hybridMultilevel"/>
    <w:tmpl w:val="96663E4A"/>
    <w:lvl w:ilvl="0" w:tplc="A0AA1C76">
      <w:start w:val="1"/>
      <w:numFmt w:val="lowerRoman"/>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29" w15:restartNumberingAfterBreak="0">
    <w:nsid w:val="799D56F6"/>
    <w:multiLevelType w:val="hybridMultilevel"/>
    <w:tmpl w:val="A684961E"/>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3"/>
  </w:num>
  <w:num w:numId="3">
    <w:abstractNumId w:val="18"/>
  </w:num>
  <w:num w:numId="4">
    <w:abstractNumId w:val="1"/>
  </w:num>
  <w:num w:numId="5">
    <w:abstractNumId w:val="6"/>
  </w:num>
  <w:num w:numId="6">
    <w:abstractNumId w:val="2"/>
  </w:num>
  <w:num w:numId="7">
    <w:abstractNumId w:val="8"/>
  </w:num>
  <w:num w:numId="8">
    <w:abstractNumId w:val="25"/>
  </w:num>
  <w:num w:numId="9">
    <w:abstractNumId w:val="23"/>
  </w:num>
  <w:num w:numId="10">
    <w:abstractNumId w:val="0"/>
  </w:num>
  <w:num w:numId="11">
    <w:abstractNumId w:val="16"/>
  </w:num>
  <w:num w:numId="12">
    <w:abstractNumId w:val="26"/>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5"/>
  </w:num>
  <w:num w:numId="16">
    <w:abstractNumId w:val="11"/>
  </w:num>
  <w:num w:numId="17">
    <w:abstractNumId w:val="15"/>
  </w:num>
  <w:num w:numId="18">
    <w:abstractNumId w:val="10"/>
  </w:num>
  <w:num w:numId="19">
    <w:abstractNumId w:val="29"/>
  </w:num>
  <w:num w:numId="20">
    <w:abstractNumId w:val="21"/>
  </w:num>
  <w:num w:numId="21">
    <w:abstractNumId w:val="7"/>
  </w:num>
  <w:num w:numId="22">
    <w:abstractNumId w:val="14"/>
  </w:num>
  <w:num w:numId="23">
    <w:abstractNumId w:val="13"/>
  </w:num>
  <w:num w:numId="24">
    <w:abstractNumId w:val="12"/>
  </w:num>
  <w:num w:numId="25">
    <w:abstractNumId w:val="19"/>
  </w:num>
  <w:num w:numId="26">
    <w:abstractNumId w:val="22"/>
  </w:num>
  <w:num w:numId="27">
    <w:abstractNumId w:val="27"/>
  </w:num>
  <w:num w:numId="28">
    <w:abstractNumId w:val="20"/>
  </w:num>
  <w:num w:numId="29">
    <w:abstractNumId w:val="24"/>
  </w:num>
  <w:num w:numId="30">
    <w:abstractNumId w:val="17"/>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95B"/>
    <w:rsid w:val="00011603"/>
    <w:rsid w:val="0002421B"/>
    <w:rsid w:val="00026B18"/>
    <w:rsid w:val="0004495B"/>
    <w:rsid w:val="00055E63"/>
    <w:rsid w:val="00060D18"/>
    <w:rsid w:val="00073371"/>
    <w:rsid w:val="00073596"/>
    <w:rsid w:val="00090CE5"/>
    <w:rsid w:val="00094CC0"/>
    <w:rsid w:val="000B24AD"/>
    <w:rsid w:val="000C3B17"/>
    <w:rsid w:val="001326A7"/>
    <w:rsid w:val="00165F4E"/>
    <w:rsid w:val="00197AFF"/>
    <w:rsid w:val="001A0608"/>
    <w:rsid w:val="001A0C87"/>
    <w:rsid w:val="001A11D7"/>
    <w:rsid w:val="001A1FC0"/>
    <w:rsid w:val="001A6076"/>
    <w:rsid w:val="001B087F"/>
    <w:rsid w:val="001C2FAA"/>
    <w:rsid w:val="001F0E87"/>
    <w:rsid w:val="002013E9"/>
    <w:rsid w:val="002026A7"/>
    <w:rsid w:val="00247710"/>
    <w:rsid w:val="00253ABB"/>
    <w:rsid w:val="002543B5"/>
    <w:rsid w:val="00281187"/>
    <w:rsid w:val="002944FC"/>
    <w:rsid w:val="002B14C0"/>
    <w:rsid w:val="002E3540"/>
    <w:rsid w:val="002F6A18"/>
    <w:rsid w:val="00313495"/>
    <w:rsid w:val="00373504"/>
    <w:rsid w:val="00391E3A"/>
    <w:rsid w:val="003C62D9"/>
    <w:rsid w:val="003E0453"/>
    <w:rsid w:val="00420D0B"/>
    <w:rsid w:val="00433847"/>
    <w:rsid w:val="0046246F"/>
    <w:rsid w:val="004832A3"/>
    <w:rsid w:val="004930DF"/>
    <w:rsid w:val="004A5474"/>
    <w:rsid w:val="004D30B0"/>
    <w:rsid w:val="0052152E"/>
    <w:rsid w:val="005321E4"/>
    <w:rsid w:val="005560E0"/>
    <w:rsid w:val="005611FF"/>
    <w:rsid w:val="00571D2D"/>
    <w:rsid w:val="00581C13"/>
    <w:rsid w:val="005865EC"/>
    <w:rsid w:val="005A5D27"/>
    <w:rsid w:val="005D1B23"/>
    <w:rsid w:val="005E1D36"/>
    <w:rsid w:val="005F0D55"/>
    <w:rsid w:val="00600950"/>
    <w:rsid w:val="00671E67"/>
    <w:rsid w:val="00694E51"/>
    <w:rsid w:val="006A6CC2"/>
    <w:rsid w:val="006B16CC"/>
    <w:rsid w:val="006B6F41"/>
    <w:rsid w:val="006E58A2"/>
    <w:rsid w:val="006F547B"/>
    <w:rsid w:val="00701FF0"/>
    <w:rsid w:val="00706F65"/>
    <w:rsid w:val="00707464"/>
    <w:rsid w:val="00757A0E"/>
    <w:rsid w:val="00760626"/>
    <w:rsid w:val="007608E8"/>
    <w:rsid w:val="0077158C"/>
    <w:rsid w:val="007830BE"/>
    <w:rsid w:val="007B421F"/>
    <w:rsid w:val="007C0156"/>
    <w:rsid w:val="007E4B50"/>
    <w:rsid w:val="00807FAE"/>
    <w:rsid w:val="0081491E"/>
    <w:rsid w:val="00894BD1"/>
    <w:rsid w:val="008C0EB1"/>
    <w:rsid w:val="008C54FF"/>
    <w:rsid w:val="00932F16"/>
    <w:rsid w:val="00951B47"/>
    <w:rsid w:val="00996FD9"/>
    <w:rsid w:val="009A1544"/>
    <w:rsid w:val="009A1F24"/>
    <w:rsid w:val="009A2432"/>
    <w:rsid w:val="009B3B91"/>
    <w:rsid w:val="009C21B8"/>
    <w:rsid w:val="009E7B06"/>
    <w:rsid w:val="00A27C20"/>
    <w:rsid w:val="00A34787"/>
    <w:rsid w:val="00A67268"/>
    <w:rsid w:val="00A92CCE"/>
    <w:rsid w:val="00AA3357"/>
    <w:rsid w:val="00AB59E8"/>
    <w:rsid w:val="00AB795B"/>
    <w:rsid w:val="00AD7B83"/>
    <w:rsid w:val="00B12381"/>
    <w:rsid w:val="00B27DF0"/>
    <w:rsid w:val="00B330FD"/>
    <w:rsid w:val="00B57582"/>
    <w:rsid w:val="00B57C11"/>
    <w:rsid w:val="00B80571"/>
    <w:rsid w:val="00B85BAF"/>
    <w:rsid w:val="00B87AA5"/>
    <w:rsid w:val="00B977CA"/>
    <w:rsid w:val="00BA51F9"/>
    <w:rsid w:val="00BA6E0E"/>
    <w:rsid w:val="00BB42DC"/>
    <w:rsid w:val="00BC6616"/>
    <w:rsid w:val="00BF0E5D"/>
    <w:rsid w:val="00C05EFB"/>
    <w:rsid w:val="00C1300D"/>
    <w:rsid w:val="00C17EE4"/>
    <w:rsid w:val="00C251C0"/>
    <w:rsid w:val="00C27F93"/>
    <w:rsid w:val="00C569B7"/>
    <w:rsid w:val="00CD625E"/>
    <w:rsid w:val="00CE3F54"/>
    <w:rsid w:val="00CE5995"/>
    <w:rsid w:val="00D355FB"/>
    <w:rsid w:val="00D37047"/>
    <w:rsid w:val="00D85828"/>
    <w:rsid w:val="00DA0CE6"/>
    <w:rsid w:val="00DA5A32"/>
    <w:rsid w:val="00DA7175"/>
    <w:rsid w:val="00DB1CB6"/>
    <w:rsid w:val="00DC3D56"/>
    <w:rsid w:val="00DF04DE"/>
    <w:rsid w:val="00E06204"/>
    <w:rsid w:val="00E86B44"/>
    <w:rsid w:val="00E92032"/>
    <w:rsid w:val="00EC21CB"/>
    <w:rsid w:val="00EF5B81"/>
    <w:rsid w:val="00F01DC5"/>
    <w:rsid w:val="00F04001"/>
    <w:rsid w:val="00FA0C94"/>
    <w:rsid w:val="00FE4826"/>
    <w:rsid w:val="00FE7C96"/>
    <w:rsid w:val="01042731"/>
    <w:rsid w:val="01AF3F46"/>
    <w:rsid w:val="01D23AC2"/>
    <w:rsid w:val="03190E04"/>
    <w:rsid w:val="03A85738"/>
    <w:rsid w:val="03D15EEF"/>
    <w:rsid w:val="03E0349F"/>
    <w:rsid w:val="051D5F06"/>
    <w:rsid w:val="05377ED2"/>
    <w:rsid w:val="058640DC"/>
    <w:rsid w:val="05DB7C4B"/>
    <w:rsid w:val="065F527B"/>
    <w:rsid w:val="06A46DDF"/>
    <w:rsid w:val="07435669"/>
    <w:rsid w:val="077C77C8"/>
    <w:rsid w:val="07943CB4"/>
    <w:rsid w:val="07CE5838"/>
    <w:rsid w:val="07F35020"/>
    <w:rsid w:val="08847194"/>
    <w:rsid w:val="089A1A93"/>
    <w:rsid w:val="08CF6F06"/>
    <w:rsid w:val="0926296F"/>
    <w:rsid w:val="0972136E"/>
    <w:rsid w:val="09870609"/>
    <w:rsid w:val="0AEA06A7"/>
    <w:rsid w:val="0AF3249D"/>
    <w:rsid w:val="0B862E89"/>
    <w:rsid w:val="0B91705F"/>
    <w:rsid w:val="0BA36FC8"/>
    <w:rsid w:val="0BCD605B"/>
    <w:rsid w:val="0C0323B6"/>
    <w:rsid w:val="0C8635FB"/>
    <w:rsid w:val="0CAC2B20"/>
    <w:rsid w:val="0D8307BF"/>
    <w:rsid w:val="0DE6745D"/>
    <w:rsid w:val="0E236DEF"/>
    <w:rsid w:val="0E4A7512"/>
    <w:rsid w:val="0E531803"/>
    <w:rsid w:val="0E74573B"/>
    <w:rsid w:val="0EDB65CA"/>
    <w:rsid w:val="0EF57E9B"/>
    <w:rsid w:val="0F1C1833"/>
    <w:rsid w:val="0F7D6568"/>
    <w:rsid w:val="0F9A66CA"/>
    <w:rsid w:val="0FCD5660"/>
    <w:rsid w:val="10464BFD"/>
    <w:rsid w:val="10B96AE0"/>
    <w:rsid w:val="12016CD2"/>
    <w:rsid w:val="13DE07BD"/>
    <w:rsid w:val="13E875F2"/>
    <w:rsid w:val="14443876"/>
    <w:rsid w:val="15085DEA"/>
    <w:rsid w:val="153E0728"/>
    <w:rsid w:val="15760854"/>
    <w:rsid w:val="15790752"/>
    <w:rsid w:val="15B11EEB"/>
    <w:rsid w:val="15D81F8F"/>
    <w:rsid w:val="16F31CBB"/>
    <w:rsid w:val="17D83BB9"/>
    <w:rsid w:val="17E14228"/>
    <w:rsid w:val="18484FD1"/>
    <w:rsid w:val="18F970B4"/>
    <w:rsid w:val="191B250A"/>
    <w:rsid w:val="19523EF8"/>
    <w:rsid w:val="1976353A"/>
    <w:rsid w:val="199503EE"/>
    <w:rsid w:val="19DE00AD"/>
    <w:rsid w:val="1A8B09A8"/>
    <w:rsid w:val="1AC01A5C"/>
    <w:rsid w:val="1B4728E9"/>
    <w:rsid w:val="1B6D5497"/>
    <w:rsid w:val="1B8E263F"/>
    <w:rsid w:val="1BAD4C66"/>
    <w:rsid w:val="1BE46741"/>
    <w:rsid w:val="1C2748F8"/>
    <w:rsid w:val="1C307F96"/>
    <w:rsid w:val="1C8A5A3B"/>
    <w:rsid w:val="1CDA6834"/>
    <w:rsid w:val="1D694E2C"/>
    <w:rsid w:val="1DFE0871"/>
    <w:rsid w:val="1E3144A5"/>
    <w:rsid w:val="1E920D02"/>
    <w:rsid w:val="1E944552"/>
    <w:rsid w:val="1ED074E5"/>
    <w:rsid w:val="1F3844EB"/>
    <w:rsid w:val="1FFF5C59"/>
    <w:rsid w:val="200F24CA"/>
    <w:rsid w:val="20793282"/>
    <w:rsid w:val="221452A9"/>
    <w:rsid w:val="221C6D4C"/>
    <w:rsid w:val="22903B44"/>
    <w:rsid w:val="23255827"/>
    <w:rsid w:val="2378757E"/>
    <w:rsid w:val="23B8100B"/>
    <w:rsid w:val="23DC4E1E"/>
    <w:rsid w:val="24174EFF"/>
    <w:rsid w:val="24406568"/>
    <w:rsid w:val="246423A0"/>
    <w:rsid w:val="24AD2DFD"/>
    <w:rsid w:val="24E30771"/>
    <w:rsid w:val="252F0C60"/>
    <w:rsid w:val="25906F57"/>
    <w:rsid w:val="25A46AD2"/>
    <w:rsid w:val="25AB502D"/>
    <w:rsid w:val="26374116"/>
    <w:rsid w:val="265D1270"/>
    <w:rsid w:val="265D2107"/>
    <w:rsid w:val="26880813"/>
    <w:rsid w:val="26E8078E"/>
    <w:rsid w:val="272E020D"/>
    <w:rsid w:val="279F34C6"/>
    <w:rsid w:val="27AA308F"/>
    <w:rsid w:val="27EA5501"/>
    <w:rsid w:val="287F6389"/>
    <w:rsid w:val="294E3A25"/>
    <w:rsid w:val="29683612"/>
    <w:rsid w:val="29855F0D"/>
    <w:rsid w:val="2A6E6656"/>
    <w:rsid w:val="2AB91516"/>
    <w:rsid w:val="2AE870FA"/>
    <w:rsid w:val="2BC835E7"/>
    <w:rsid w:val="2BEB2C3E"/>
    <w:rsid w:val="2CD66739"/>
    <w:rsid w:val="2D6B61CF"/>
    <w:rsid w:val="2DC12073"/>
    <w:rsid w:val="2EEA721C"/>
    <w:rsid w:val="2EFF5156"/>
    <w:rsid w:val="2F6A6770"/>
    <w:rsid w:val="2FA53563"/>
    <w:rsid w:val="30063729"/>
    <w:rsid w:val="30602507"/>
    <w:rsid w:val="306F1AB8"/>
    <w:rsid w:val="30846EDE"/>
    <w:rsid w:val="310B7683"/>
    <w:rsid w:val="311E0BDD"/>
    <w:rsid w:val="31266974"/>
    <w:rsid w:val="31524F93"/>
    <w:rsid w:val="31633C5D"/>
    <w:rsid w:val="31B10C2F"/>
    <w:rsid w:val="31C80EFC"/>
    <w:rsid w:val="329E2CC7"/>
    <w:rsid w:val="32A8121E"/>
    <w:rsid w:val="32E77B29"/>
    <w:rsid w:val="32FE591C"/>
    <w:rsid w:val="334700EE"/>
    <w:rsid w:val="33503F1E"/>
    <w:rsid w:val="33806EB2"/>
    <w:rsid w:val="33A2131E"/>
    <w:rsid w:val="340A616C"/>
    <w:rsid w:val="3419138A"/>
    <w:rsid w:val="351507A6"/>
    <w:rsid w:val="35266E93"/>
    <w:rsid w:val="35D5676C"/>
    <w:rsid w:val="36024294"/>
    <w:rsid w:val="37AE7792"/>
    <w:rsid w:val="37D20B48"/>
    <w:rsid w:val="381254E8"/>
    <w:rsid w:val="3825671C"/>
    <w:rsid w:val="38DE58B1"/>
    <w:rsid w:val="39235FEF"/>
    <w:rsid w:val="3A264768"/>
    <w:rsid w:val="3A966B08"/>
    <w:rsid w:val="3AAA7DF2"/>
    <w:rsid w:val="3AC7156E"/>
    <w:rsid w:val="3AC93023"/>
    <w:rsid w:val="3AD12D8B"/>
    <w:rsid w:val="3AF3232E"/>
    <w:rsid w:val="3CDC537D"/>
    <w:rsid w:val="3CFB0C91"/>
    <w:rsid w:val="3E266A63"/>
    <w:rsid w:val="3FEF4416"/>
    <w:rsid w:val="404F65CE"/>
    <w:rsid w:val="40604992"/>
    <w:rsid w:val="40851649"/>
    <w:rsid w:val="40EB7059"/>
    <w:rsid w:val="4239257D"/>
    <w:rsid w:val="42B47B83"/>
    <w:rsid w:val="42D019FF"/>
    <w:rsid w:val="43B96A5E"/>
    <w:rsid w:val="43BB57B2"/>
    <w:rsid w:val="43C42C28"/>
    <w:rsid w:val="43D33889"/>
    <w:rsid w:val="444E7292"/>
    <w:rsid w:val="44B01986"/>
    <w:rsid w:val="461C3AD6"/>
    <w:rsid w:val="46344D28"/>
    <w:rsid w:val="4709668B"/>
    <w:rsid w:val="47191978"/>
    <w:rsid w:val="47EB7D60"/>
    <w:rsid w:val="48454C5C"/>
    <w:rsid w:val="484C0B0B"/>
    <w:rsid w:val="487C04F1"/>
    <w:rsid w:val="48AE1619"/>
    <w:rsid w:val="497B15DE"/>
    <w:rsid w:val="499842D8"/>
    <w:rsid w:val="4A2029CB"/>
    <w:rsid w:val="4A77379A"/>
    <w:rsid w:val="4AC94BCB"/>
    <w:rsid w:val="4BA201AF"/>
    <w:rsid w:val="4BFA153E"/>
    <w:rsid w:val="4CAD731F"/>
    <w:rsid w:val="4CE85696"/>
    <w:rsid w:val="4D8471FC"/>
    <w:rsid w:val="4DDE5E01"/>
    <w:rsid w:val="4E310991"/>
    <w:rsid w:val="4ECE245C"/>
    <w:rsid w:val="4EFE5222"/>
    <w:rsid w:val="505A2187"/>
    <w:rsid w:val="50D44666"/>
    <w:rsid w:val="51022D70"/>
    <w:rsid w:val="52022ECC"/>
    <w:rsid w:val="523E1F2F"/>
    <w:rsid w:val="52616265"/>
    <w:rsid w:val="52DB35F2"/>
    <w:rsid w:val="533F5B2D"/>
    <w:rsid w:val="53497F67"/>
    <w:rsid w:val="5362185C"/>
    <w:rsid w:val="53991EB2"/>
    <w:rsid w:val="53E94D04"/>
    <w:rsid w:val="542C245F"/>
    <w:rsid w:val="548476E2"/>
    <w:rsid w:val="54C96310"/>
    <w:rsid w:val="554159D6"/>
    <w:rsid w:val="55696452"/>
    <w:rsid w:val="55711D64"/>
    <w:rsid w:val="557637D5"/>
    <w:rsid w:val="55BC6B2F"/>
    <w:rsid w:val="56174405"/>
    <w:rsid w:val="56B72197"/>
    <w:rsid w:val="57DD37B2"/>
    <w:rsid w:val="58C75AEF"/>
    <w:rsid w:val="59AC405F"/>
    <w:rsid w:val="59F275D2"/>
    <w:rsid w:val="5A3D6517"/>
    <w:rsid w:val="5A52342F"/>
    <w:rsid w:val="5A8D6ABB"/>
    <w:rsid w:val="5AD5261E"/>
    <w:rsid w:val="5B086176"/>
    <w:rsid w:val="5B5F5126"/>
    <w:rsid w:val="5B923002"/>
    <w:rsid w:val="5BAE74B8"/>
    <w:rsid w:val="5BEC0C22"/>
    <w:rsid w:val="5BFE3C16"/>
    <w:rsid w:val="5C633122"/>
    <w:rsid w:val="5C9F4FD1"/>
    <w:rsid w:val="5CAB0CB2"/>
    <w:rsid w:val="5CC13D62"/>
    <w:rsid w:val="5CFB1B2E"/>
    <w:rsid w:val="5CFC22DC"/>
    <w:rsid w:val="5D004017"/>
    <w:rsid w:val="5D9F440A"/>
    <w:rsid w:val="5DAD1260"/>
    <w:rsid w:val="5DCA4860"/>
    <w:rsid w:val="5DE17F1E"/>
    <w:rsid w:val="5F2726EE"/>
    <w:rsid w:val="5F406E2A"/>
    <w:rsid w:val="5FA869A0"/>
    <w:rsid w:val="600D6CF8"/>
    <w:rsid w:val="605A7DE0"/>
    <w:rsid w:val="60C77A47"/>
    <w:rsid w:val="619C4A84"/>
    <w:rsid w:val="61F731C3"/>
    <w:rsid w:val="620351C2"/>
    <w:rsid w:val="62546D7A"/>
    <w:rsid w:val="626D013A"/>
    <w:rsid w:val="62B6538B"/>
    <w:rsid w:val="6308531A"/>
    <w:rsid w:val="63B74DA1"/>
    <w:rsid w:val="64322FBC"/>
    <w:rsid w:val="648C17C2"/>
    <w:rsid w:val="64E60C6D"/>
    <w:rsid w:val="652F240B"/>
    <w:rsid w:val="65CC5B78"/>
    <w:rsid w:val="65DD5747"/>
    <w:rsid w:val="661A74F6"/>
    <w:rsid w:val="66923C07"/>
    <w:rsid w:val="66FE7439"/>
    <w:rsid w:val="67393C0A"/>
    <w:rsid w:val="67602B51"/>
    <w:rsid w:val="677F5FC4"/>
    <w:rsid w:val="67B51E36"/>
    <w:rsid w:val="67E75322"/>
    <w:rsid w:val="686F58F0"/>
    <w:rsid w:val="68BB1999"/>
    <w:rsid w:val="68FB339A"/>
    <w:rsid w:val="696447D5"/>
    <w:rsid w:val="696B61A0"/>
    <w:rsid w:val="699A0700"/>
    <w:rsid w:val="6AA12E46"/>
    <w:rsid w:val="6AFE5354"/>
    <w:rsid w:val="6C565E66"/>
    <w:rsid w:val="6C582406"/>
    <w:rsid w:val="6C821A8A"/>
    <w:rsid w:val="6D45464E"/>
    <w:rsid w:val="6DB35F3F"/>
    <w:rsid w:val="6E0A4378"/>
    <w:rsid w:val="6E134537"/>
    <w:rsid w:val="6E1F0AA0"/>
    <w:rsid w:val="6E2A50B5"/>
    <w:rsid w:val="6E9A31DE"/>
    <w:rsid w:val="6EAB7312"/>
    <w:rsid w:val="6F750CF5"/>
    <w:rsid w:val="71685969"/>
    <w:rsid w:val="71E55F84"/>
    <w:rsid w:val="71FE43F9"/>
    <w:rsid w:val="722633EA"/>
    <w:rsid w:val="72890E58"/>
    <w:rsid w:val="728C22C0"/>
    <w:rsid w:val="739738D5"/>
    <w:rsid w:val="73DF48BB"/>
    <w:rsid w:val="73E40867"/>
    <w:rsid w:val="7439221D"/>
    <w:rsid w:val="74486626"/>
    <w:rsid w:val="745A0288"/>
    <w:rsid w:val="748652DD"/>
    <w:rsid w:val="74C654F5"/>
    <w:rsid w:val="74C80516"/>
    <w:rsid w:val="75DF5B69"/>
    <w:rsid w:val="75EC4A7A"/>
    <w:rsid w:val="761A44E6"/>
    <w:rsid w:val="766B0BEB"/>
    <w:rsid w:val="767F7521"/>
    <w:rsid w:val="76AC257F"/>
    <w:rsid w:val="76C53AE9"/>
    <w:rsid w:val="772E6266"/>
    <w:rsid w:val="77351154"/>
    <w:rsid w:val="775C0B7D"/>
    <w:rsid w:val="78016163"/>
    <w:rsid w:val="785C5CE2"/>
    <w:rsid w:val="789426D8"/>
    <w:rsid w:val="78BA19AB"/>
    <w:rsid w:val="793F609E"/>
    <w:rsid w:val="79640A8E"/>
    <w:rsid w:val="79661E5F"/>
    <w:rsid w:val="79D60B84"/>
    <w:rsid w:val="7A4E16F4"/>
    <w:rsid w:val="7A541BEB"/>
    <w:rsid w:val="7A820B58"/>
    <w:rsid w:val="7AE97C0C"/>
    <w:rsid w:val="7B025ABB"/>
    <w:rsid w:val="7B03320F"/>
    <w:rsid w:val="7B317A30"/>
    <w:rsid w:val="7B5353D8"/>
    <w:rsid w:val="7B7F382B"/>
    <w:rsid w:val="7C232B74"/>
    <w:rsid w:val="7D72414D"/>
    <w:rsid w:val="7DD72771"/>
    <w:rsid w:val="7DDC5F95"/>
    <w:rsid w:val="7EFC25EB"/>
    <w:rsid w:val="7F0B2A9D"/>
    <w:rsid w:val="7F9C7AE0"/>
    <w:rsid w:val="7FC02631"/>
    <w:rsid w:val="7FC03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93900A08-2386-42B1-A19A-D40BD997C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sz w:val="22"/>
      <w:szCs w:val="22"/>
      <w:lang w:val="en-US" w:eastAsia="en-US"/>
    </w:rPr>
  </w:style>
  <w:style w:type="paragraph" w:styleId="Heading1">
    <w:name w:val="heading 1"/>
    <w:basedOn w:val="Normal"/>
    <w:next w:val="Normal"/>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uiPriority w:val="99"/>
    <w:unhideWhenUsed/>
    <w:qFormat/>
    <w:rPr>
      <w:sz w:val="20"/>
      <w:szCs w:val="20"/>
    </w:rPr>
  </w:style>
  <w:style w:type="paragraph" w:styleId="Footer">
    <w:name w:val="footer"/>
    <w:basedOn w:val="Normal"/>
    <w:link w:val="FooterChar"/>
    <w:uiPriority w:val="99"/>
    <w:unhideWhenUsed/>
    <w:qFormat/>
    <w:pPr>
      <w:tabs>
        <w:tab w:val="center" w:pos="4320"/>
        <w:tab w:val="right" w:pos="8640"/>
      </w:tabs>
    </w:pPr>
  </w:style>
  <w:style w:type="paragraph" w:styleId="Header">
    <w:name w:val="header"/>
    <w:basedOn w:val="Normal"/>
    <w:link w:val="HeaderChar"/>
    <w:uiPriority w:val="99"/>
    <w:unhideWhenUsed/>
    <w:qFormat/>
    <w:pPr>
      <w:tabs>
        <w:tab w:val="center" w:pos="4320"/>
        <w:tab w:val="right" w:pos="8640"/>
      </w:tabs>
    </w:p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character" w:styleId="Hyperlink">
    <w:name w:val="Hyperlink"/>
    <w:basedOn w:val="DefaultParagraphFont"/>
    <w:uiPriority w:val="99"/>
    <w:unhideWhenUsed/>
    <w:qFormat/>
    <w:rPr>
      <w:color w:val="0563C1" w:themeColor="hyperlink"/>
      <w:u w:val="single"/>
    </w:rPr>
  </w:style>
  <w:style w:type="character" w:styleId="PageNumber">
    <w:name w:val="page number"/>
    <w:basedOn w:val="DefaultParagraphFont"/>
    <w:uiPriority w:val="99"/>
    <w:semiHidden/>
    <w:unhideWhenUsed/>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rFonts w:ascii="Calibri" w:eastAsia="Calibri" w:hAnsi="Calibri" w:cs="Times New Roman"/>
    </w:rPr>
  </w:style>
  <w:style w:type="character" w:customStyle="1" w:styleId="FooterChar">
    <w:name w:val="Footer Char"/>
    <w:basedOn w:val="DefaultParagraphFont"/>
    <w:link w:val="Footer"/>
    <w:uiPriority w:val="99"/>
    <w:qFormat/>
    <w:rPr>
      <w:rFonts w:ascii="Calibri" w:eastAsia="Calibri" w:hAnsi="Calibri" w:cs="Times New Roman"/>
    </w:rPr>
  </w:style>
  <w:style w:type="paragraph" w:customStyle="1" w:styleId="TOCHeading1">
    <w:name w:val="TOC Heading1"/>
    <w:basedOn w:val="Heading1"/>
    <w:next w:val="Normal"/>
    <w:uiPriority w:val="39"/>
    <w:unhideWhenUsed/>
    <w:qFormat/>
    <w:pPr>
      <w:outlineLvl w:val="9"/>
    </w:p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Times New Roman" w:hAnsi="Times New 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206047">
      <w:bodyDiv w:val="1"/>
      <w:marLeft w:val="0"/>
      <w:marRight w:val="0"/>
      <w:marTop w:val="0"/>
      <w:marBottom w:val="0"/>
      <w:divBdr>
        <w:top w:val="none" w:sz="0" w:space="0" w:color="auto"/>
        <w:left w:val="none" w:sz="0" w:space="0" w:color="auto"/>
        <w:bottom w:val="none" w:sz="0" w:space="0" w:color="auto"/>
        <w:right w:val="none" w:sz="0" w:space="0" w:color="auto"/>
      </w:divBdr>
    </w:div>
    <w:div w:id="692077049">
      <w:bodyDiv w:val="1"/>
      <w:marLeft w:val="0"/>
      <w:marRight w:val="0"/>
      <w:marTop w:val="0"/>
      <w:marBottom w:val="0"/>
      <w:divBdr>
        <w:top w:val="none" w:sz="0" w:space="0" w:color="auto"/>
        <w:left w:val="none" w:sz="0" w:space="0" w:color="auto"/>
        <w:bottom w:val="none" w:sz="0" w:space="0" w:color="auto"/>
        <w:right w:val="none" w:sz="0" w:space="0" w:color="auto"/>
      </w:divBdr>
    </w:div>
    <w:div w:id="2077972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33</Pages>
  <Words>6176</Words>
  <Characters>35205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Oceanic N. Sakwa</dc:creator>
  <cp:lastModifiedBy>Reagan</cp:lastModifiedBy>
  <cp:revision>8</cp:revision>
  <dcterms:created xsi:type="dcterms:W3CDTF">2022-04-20T14:07:00Z</dcterms:created>
  <dcterms:modified xsi:type="dcterms:W3CDTF">2022-04-29T08:06:00Z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